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982" w:rsidRPr="000B3BCC" w:rsidRDefault="00552982" w:rsidP="00552982">
      <w:pPr>
        <w:rPr>
          <w:rFonts w:asciiTheme="minorHAnsi" w:hAnsiTheme="minorHAnsi" w:cstheme="minorHAnsi"/>
          <w:b/>
          <w:sz w:val="20"/>
          <w:szCs w:val="20"/>
          <w:u w:val="single"/>
        </w:rPr>
      </w:pPr>
      <w:r w:rsidRPr="000B3BCC">
        <w:rPr>
          <w:rFonts w:asciiTheme="minorHAnsi" w:hAnsiTheme="minorHAnsi" w:cstheme="minorHAnsi"/>
          <w:b/>
          <w:sz w:val="20"/>
          <w:szCs w:val="20"/>
          <w:u w:val="single"/>
        </w:rPr>
        <w:t>NOTAS DE GESTIÓN ADMINISTRATIVO</w:t>
      </w:r>
    </w:p>
    <w:p w:rsidR="00552982" w:rsidRDefault="00552982" w:rsidP="00DF3CDB">
      <w:pPr>
        <w:jc w:val="both"/>
        <w:rPr>
          <w:rFonts w:asciiTheme="minorHAnsi" w:hAnsiTheme="minorHAnsi"/>
          <w:b/>
          <w:sz w:val="20"/>
          <w:szCs w:val="20"/>
        </w:rPr>
      </w:pPr>
    </w:p>
    <w:p w:rsidR="00552982" w:rsidRPr="00DF3CDB" w:rsidRDefault="00552982" w:rsidP="00552982">
      <w:pPr>
        <w:pStyle w:val="Ttulo1"/>
        <w:pBdr>
          <w:top w:val="single" w:sz="4" w:space="0" w:color="auto"/>
          <w:left w:val="single" w:sz="4" w:space="4" w:color="auto"/>
          <w:bottom w:val="single" w:sz="4" w:space="1" w:color="auto"/>
          <w:right w:val="single" w:sz="4" w:space="4" w:color="auto"/>
        </w:pBdr>
        <w:tabs>
          <w:tab w:val="left" w:pos="1691"/>
        </w:tabs>
        <w:jc w:val="both"/>
        <w:rPr>
          <w:rFonts w:asciiTheme="minorHAnsi" w:hAnsiTheme="minorHAnsi"/>
          <w:sz w:val="20"/>
          <w:szCs w:val="20"/>
        </w:rPr>
      </w:pPr>
      <w:r w:rsidRPr="00DF3CDB">
        <w:rPr>
          <w:rFonts w:asciiTheme="minorHAnsi" w:hAnsiTheme="minorHAnsi"/>
          <w:sz w:val="20"/>
          <w:szCs w:val="20"/>
        </w:rPr>
        <w:t>Nota 1     Personalidad jurídica y actividad operacional</w:t>
      </w:r>
    </w:p>
    <w:p w:rsidR="00552982" w:rsidRPr="00DF3CDB" w:rsidRDefault="00552982" w:rsidP="00DF3CDB">
      <w:pPr>
        <w:jc w:val="both"/>
        <w:rPr>
          <w:rFonts w:asciiTheme="minorHAnsi" w:hAnsiTheme="minorHAnsi"/>
          <w:b/>
          <w:sz w:val="20"/>
          <w:szCs w:val="20"/>
        </w:rPr>
      </w:pPr>
    </w:p>
    <w:p w:rsidR="00B94FD0" w:rsidRPr="00DF3CDB" w:rsidRDefault="00253C68" w:rsidP="00CB7176">
      <w:pPr>
        <w:pStyle w:val="Sangradetextonormal"/>
        <w:ind w:firstLine="528"/>
        <w:jc w:val="both"/>
        <w:rPr>
          <w:rFonts w:asciiTheme="minorHAnsi" w:hAnsiTheme="minorHAnsi"/>
          <w:sz w:val="20"/>
          <w:szCs w:val="20"/>
          <w:lang w:val="es-ES"/>
        </w:rPr>
      </w:pPr>
      <w:r w:rsidRPr="00DF3CDB">
        <w:rPr>
          <w:rFonts w:asciiTheme="minorHAnsi" w:hAnsiTheme="minorHAnsi"/>
          <w:sz w:val="20"/>
          <w:szCs w:val="20"/>
          <w:lang w:val="es-ES"/>
        </w:rPr>
        <w:t xml:space="preserve">La Auditoria Superior del Estado es un </w:t>
      </w:r>
      <w:r w:rsidR="00B94FD0" w:rsidRPr="00DF3CDB">
        <w:rPr>
          <w:rFonts w:asciiTheme="minorHAnsi" w:hAnsiTheme="minorHAnsi"/>
          <w:sz w:val="20"/>
          <w:szCs w:val="20"/>
          <w:lang w:val="es-ES"/>
        </w:rPr>
        <w:t>Órgano</w:t>
      </w:r>
      <w:r w:rsidRPr="00DF3CDB">
        <w:rPr>
          <w:rFonts w:asciiTheme="minorHAnsi" w:hAnsiTheme="minorHAnsi"/>
          <w:sz w:val="20"/>
          <w:szCs w:val="20"/>
          <w:lang w:val="es-ES"/>
        </w:rPr>
        <w:t xml:space="preserve"> técnico del </w:t>
      </w:r>
      <w:r w:rsidR="00B94FD0" w:rsidRPr="00DF3CDB">
        <w:rPr>
          <w:rFonts w:asciiTheme="minorHAnsi" w:hAnsiTheme="minorHAnsi"/>
          <w:sz w:val="20"/>
          <w:szCs w:val="20"/>
          <w:lang w:val="es-ES"/>
        </w:rPr>
        <w:t xml:space="preserve">poder legislativo, responsable de fiscalizar el ejercicio de los recursos públicos,  </w:t>
      </w:r>
      <w:r w:rsidRPr="00DF3CDB">
        <w:rPr>
          <w:rFonts w:asciiTheme="minorHAnsi" w:hAnsiTheme="minorHAnsi"/>
          <w:sz w:val="20"/>
          <w:szCs w:val="20"/>
          <w:lang w:val="es-ES"/>
        </w:rPr>
        <w:t xml:space="preserve">con autonomía técnica, presupuestal y de gestión para el ejercicio de sus </w:t>
      </w:r>
      <w:r w:rsidR="00B94FD0" w:rsidRPr="00DF3CDB">
        <w:rPr>
          <w:rFonts w:asciiTheme="minorHAnsi" w:hAnsiTheme="minorHAnsi"/>
          <w:sz w:val="20"/>
          <w:szCs w:val="20"/>
          <w:lang w:val="es-ES"/>
        </w:rPr>
        <w:t>atribuciones</w:t>
      </w:r>
      <w:r w:rsidR="00120DB9">
        <w:rPr>
          <w:rFonts w:asciiTheme="minorHAnsi" w:hAnsiTheme="minorHAnsi"/>
          <w:sz w:val="20"/>
          <w:szCs w:val="20"/>
          <w:lang w:val="es-ES"/>
        </w:rPr>
        <w:t xml:space="preserve"> </w:t>
      </w:r>
      <w:r w:rsidR="00F04CFE" w:rsidRPr="00DF3CDB">
        <w:rPr>
          <w:rFonts w:asciiTheme="minorHAnsi" w:hAnsiTheme="minorHAnsi"/>
          <w:sz w:val="20"/>
          <w:szCs w:val="20"/>
          <w:lang w:val="es-ES"/>
        </w:rPr>
        <w:t>así</w:t>
      </w:r>
      <w:r w:rsidRPr="00DF3CDB">
        <w:rPr>
          <w:rFonts w:asciiTheme="minorHAnsi" w:hAnsiTheme="minorHAnsi"/>
          <w:sz w:val="20"/>
          <w:szCs w:val="20"/>
          <w:lang w:val="es-ES"/>
        </w:rPr>
        <w:t xml:space="preserve"> com</w:t>
      </w:r>
      <w:r w:rsidR="00B94FD0" w:rsidRPr="00DF3CDB">
        <w:rPr>
          <w:rFonts w:asciiTheme="minorHAnsi" w:hAnsiTheme="minorHAnsi"/>
          <w:sz w:val="20"/>
          <w:szCs w:val="20"/>
          <w:lang w:val="es-ES"/>
        </w:rPr>
        <w:t>o</w:t>
      </w:r>
      <w:r w:rsidRPr="00DF3CDB">
        <w:rPr>
          <w:rFonts w:asciiTheme="minorHAnsi" w:hAnsiTheme="minorHAnsi"/>
          <w:sz w:val="20"/>
          <w:szCs w:val="20"/>
          <w:lang w:val="es-ES"/>
        </w:rPr>
        <w:t xml:space="preserve"> para decidir sobre su </w:t>
      </w:r>
      <w:r w:rsidR="00B94FD0" w:rsidRPr="00DF3CDB">
        <w:rPr>
          <w:rFonts w:asciiTheme="minorHAnsi" w:hAnsiTheme="minorHAnsi"/>
          <w:sz w:val="20"/>
          <w:szCs w:val="20"/>
          <w:lang w:val="es-ES"/>
        </w:rPr>
        <w:t xml:space="preserve">organización, funcionamiento y </w:t>
      </w:r>
      <w:r w:rsidR="00875DCE" w:rsidRPr="00DF3CDB">
        <w:rPr>
          <w:rFonts w:asciiTheme="minorHAnsi" w:hAnsiTheme="minorHAnsi"/>
          <w:sz w:val="20"/>
          <w:szCs w:val="20"/>
          <w:lang w:val="es-ES"/>
        </w:rPr>
        <w:t>resoluciones</w:t>
      </w:r>
      <w:r w:rsidR="00B94FD0" w:rsidRPr="00DF3CDB">
        <w:rPr>
          <w:rFonts w:asciiTheme="minorHAnsi" w:hAnsiTheme="minorHAnsi"/>
          <w:sz w:val="20"/>
          <w:szCs w:val="20"/>
          <w:lang w:val="es-ES"/>
        </w:rPr>
        <w:t xml:space="preserve"> en los términos que dispone la </w:t>
      </w:r>
      <w:r w:rsidR="008E405F" w:rsidRPr="00DF3CDB">
        <w:rPr>
          <w:rFonts w:asciiTheme="minorHAnsi" w:hAnsiTheme="minorHAnsi"/>
          <w:sz w:val="20"/>
          <w:szCs w:val="20"/>
          <w:lang w:val="es-ES"/>
        </w:rPr>
        <w:t>L</w:t>
      </w:r>
      <w:r w:rsidR="00B94FD0" w:rsidRPr="00DF3CDB">
        <w:rPr>
          <w:rFonts w:asciiTheme="minorHAnsi" w:hAnsiTheme="minorHAnsi"/>
          <w:sz w:val="20"/>
          <w:szCs w:val="20"/>
          <w:lang w:val="es-ES"/>
        </w:rPr>
        <w:t xml:space="preserve">ey de </w:t>
      </w:r>
      <w:r w:rsidR="008E405F" w:rsidRPr="00DF3CDB">
        <w:rPr>
          <w:rFonts w:asciiTheme="minorHAnsi" w:hAnsiTheme="minorHAnsi"/>
          <w:sz w:val="20"/>
          <w:szCs w:val="20"/>
          <w:lang w:val="es-ES"/>
        </w:rPr>
        <w:t>Fiscalización de la</w:t>
      </w:r>
      <w:r w:rsidR="00120DB9">
        <w:rPr>
          <w:rFonts w:asciiTheme="minorHAnsi" w:hAnsiTheme="minorHAnsi"/>
          <w:sz w:val="20"/>
          <w:szCs w:val="20"/>
          <w:lang w:val="es-ES"/>
        </w:rPr>
        <w:t xml:space="preserve"> </w:t>
      </w:r>
      <w:r w:rsidR="008E405F" w:rsidRPr="00DF3CDB">
        <w:rPr>
          <w:rFonts w:asciiTheme="minorHAnsi" w:hAnsiTheme="minorHAnsi"/>
          <w:sz w:val="20"/>
          <w:szCs w:val="20"/>
          <w:lang w:val="es-ES"/>
        </w:rPr>
        <w:t>C</w:t>
      </w:r>
      <w:r w:rsidR="00B94FD0" w:rsidRPr="00DF3CDB">
        <w:rPr>
          <w:rFonts w:asciiTheme="minorHAnsi" w:hAnsiTheme="minorHAnsi"/>
          <w:sz w:val="20"/>
          <w:szCs w:val="20"/>
          <w:lang w:val="es-ES"/>
        </w:rPr>
        <w:t xml:space="preserve">uenta </w:t>
      </w:r>
      <w:r w:rsidR="008E405F" w:rsidRPr="00DF3CDB">
        <w:rPr>
          <w:rFonts w:asciiTheme="minorHAnsi" w:hAnsiTheme="minorHAnsi"/>
          <w:sz w:val="20"/>
          <w:szCs w:val="20"/>
          <w:lang w:val="es-ES"/>
        </w:rPr>
        <w:t>P</w:t>
      </w:r>
      <w:r w:rsidR="00875DCE" w:rsidRPr="00DF3CDB">
        <w:rPr>
          <w:rFonts w:asciiTheme="minorHAnsi" w:hAnsiTheme="minorHAnsi"/>
          <w:sz w:val="20"/>
          <w:szCs w:val="20"/>
          <w:lang w:val="es-ES"/>
        </w:rPr>
        <w:t>ública</w:t>
      </w:r>
      <w:r w:rsidR="008E405F" w:rsidRPr="00DF3CDB">
        <w:rPr>
          <w:rFonts w:asciiTheme="minorHAnsi" w:hAnsiTheme="minorHAnsi"/>
          <w:sz w:val="20"/>
          <w:szCs w:val="20"/>
          <w:lang w:val="es-ES"/>
        </w:rPr>
        <w:t xml:space="preserve"> del Estado de Yucatán</w:t>
      </w:r>
      <w:r w:rsidR="00B94FD0" w:rsidRPr="00DF3CDB">
        <w:rPr>
          <w:rFonts w:asciiTheme="minorHAnsi" w:hAnsiTheme="minorHAnsi"/>
          <w:sz w:val="20"/>
          <w:szCs w:val="20"/>
          <w:lang w:val="es-ES"/>
        </w:rPr>
        <w:t xml:space="preserve">, de conformidad al decreto </w:t>
      </w:r>
      <w:r w:rsidR="00F04CFE" w:rsidRPr="00DF3CDB">
        <w:rPr>
          <w:rFonts w:asciiTheme="minorHAnsi" w:hAnsiTheme="minorHAnsi"/>
          <w:sz w:val="20"/>
          <w:szCs w:val="20"/>
          <w:lang w:val="es-ES"/>
        </w:rPr>
        <w:t xml:space="preserve">Numero </w:t>
      </w:r>
      <w:r w:rsidR="00875DCE" w:rsidRPr="00DF3CDB">
        <w:rPr>
          <w:rFonts w:asciiTheme="minorHAnsi" w:hAnsiTheme="minorHAnsi"/>
          <w:sz w:val="20"/>
          <w:szCs w:val="20"/>
          <w:lang w:val="es-ES"/>
        </w:rPr>
        <w:t>289.</w:t>
      </w:r>
    </w:p>
    <w:p w:rsidR="00253C68" w:rsidRPr="006D3539" w:rsidRDefault="00253C68" w:rsidP="00DF3CDB">
      <w:pPr>
        <w:pStyle w:val="Sangradetextonormal"/>
        <w:ind w:left="0"/>
        <w:jc w:val="both"/>
        <w:rPr>
          <w:rFonts w:asciiTheme="minorHAnsi" w:hAnsiTheme="minorHAnsi"/>
          <w:b/>
          <w:sz w:val="20"/>
          <w:szCs w:val="20"/>
          <w:lang w:val="es-ES"/>
        </w:rPr>
      </w:pPr>
    </w:p>
    <w:p w:rsidR="00253C68" w:rsidRPr="00DF3CDB" w:rsidRDefault="00253C68" w:rsidP="00552982">
      <w:pPr>
        <w:pStyle w:val="Ttulo1"/>
        <w:pBdr>
          <w:top w:val="single" w:sz="4" w:space="1" w:color="auto"/>
          <w:left w:val="single" w:sz="4" w:space="4" w:color="auto"/>
          <w:bottom w:val="single" w:sz="4" w:space="1" w:color="auto"/>
          <w:right w:val="single" w:sz="4" w:space="4" w:color="auto"/>
        </w:pBdr>
        <w:tabs>
          <w:tab w:val="left" w:pos="1691"/>
        </w:tabs>
        <w:jc w:val="both"/>
        <w:rPr>
          <w:rFonts w:asciiTheme="minorHAnsi" w:hAnsiTheme="minorHAnsi"/>
          <w:sz w:val="20"/>
          <w:szCs w:val="20"/>
        </w:rPr>
      </w:pPr>
      <w:r w:rsidRPr="00DF3CDB">
        <w:rPr>
          <w:rFonts w:asciiTheme="minorHAnsi" w:hAnsiTheme="minorHAnsi"/>
          <w:sz w:val="20"/>
          <w:szCs w:val="20"/>
        </w:rPr>
        <w:t xml:space="preserve">Nota </w:t>
      </w:r>
      <w:r w:rsidR="00875DCE" w:rsidRPr="00DF3CDB">
        <w:rPr>
          <w:rFonts w:asciiTheme="minorHAnsi" w:hAnsiTheme="minorHAnsi"/>
          <w:sz w:val="20"/>
          <w:szCs w:val="20"/>
        </w:rPr>
        <w:t>2</w:t>
      </w:r>
      <w:r w:rsidRPr="00DF3CDB">
        <w:rPr>
          <w:rFonts w:asciiTheme="minorHAnsi" w:hAnsiTheme="minorHAnsi"/>
          <w:sz w:val="20"/>
          <w:szCs w:val="20"/>
        </w:rPr>
        <w:t xml:space="preserve">     Principales políticas y prácticas contables</w:t>
      </w:r>
    </w:p>
    <w:p w:rsidR="00253C68" w:rsidRPr="00DF3CDB" w:rsidRDefault="00253C68" w:rsidP="00DF3CDB">
      <w:pPr>
        <w:jc w:val="both"/>
        <w:rPr>
          <w:rFonts w:asciiTheme="minorHAnsi" w:hAnsiTheme="minorHAnsi"/>
          <w:b/>
          <w:sz w:val="20"/>
          <w:szCs w:val="20"/>
        </w:rPr>
      </w:pPr>
    </w:p>
    <w:p w:rsidR="00E7026F" w:rsidRPr="00DF3CDB" w:rsidRDefault="00E42B00" w:rsidP="00DF3CDB">
      <w:pPr>
        <w:ind w:firstLine="360"/>
        <w:jc w:val="both"/>
        <w:rPr>
          <w:rFonts w:asciiTheme="minorHAnsi" w:hAnsiTheme="minorHAnsi"/>
          <w:sz w:val="20"/>
          <w:szCs w:val="20"/>
        </w:rPr>
      </w:pPr>
      <w:r w:rsidRPr="00DF3CDB">
        <w:rPr>
          <w:rFonts w:asciiTheme="minorHAnsi" w:hAnsiTheme="minorHAnsi"/>
          <w:sz w:val="20"/>
          <w:szCs w:val="20"/>
        </w:rPr>
        <w:t xml:space="preserve">Los estados </w:t>
      </w:r>
      <w:r w:rsidR="000E44C7" w:rsidRPr="00DF3CDB">
        <w:rPr>
          <w:rFonts w:asciiTheme="minorHAnsi" w:hAnsiTheme="minorHAnsi"/>
          <w:sz w:val="20"/>
          <w:szCs w:val="20"/>
        </w:rPr>
        <w:t>financieros al</w:t>
      </w:r>
      <w:r w:rsidR="006E122F" w:rsidRPr="00DF3CDB">
        <w:rPr>
          <w:rFonts w:asciiTheme="minorHAnsi" w:hAnsiTheme="minorHAnsi"/>
          <w:sz w:val="20"/>
          <w:szCs w:val="20"/>
        </w:rPr>
        <w:t xml:space="preserve"> </w:t>
      </w:r>
      <w:r w:rsidR="00C77A7C">
        <w:rPr>
          <w:rFonts w:asciiTheme="minorHAnsi" w:hAnsiTheme="minorHAnsi"/>
          <w:sz w:val="20"/>
          <w:szCs w:val="20"/>
        </w:rPr>
        <w:t>31</w:t>
      </w:r>
      <w:r w:rsidR="00A76FFB" w:rsidRPr="00A76FFB">
        <w:rPr>
          <w:rFonts w:asciiTheme="minorHAnsi" w:hAnsiTheme="minorHAnsi"/>
          <w:sz w:val="20"/>
          <w:szCs w:val="20"/>
        </w:rPr>
        <w:t xml:space="preserve"> de </w:t>
      </w:r>
      <w:r w:rsidR="00900104">
        <w:rPr>
          <w:rFonts w:asciiTheme="minorHAnsi" w:hAnsiTheme="minorHAnsi"/>
          <w:sz w:val="20"/>
          <w:szCs w:val="20"/>
        </w:rPr>
        <w:t>Marzo</w:t>
      </w:r>
      <w:r w:rsidR="00D4567D">
        <w:rPr>
          <w:rFonts w:asciiTheme="minorHAnsi" w:hAnsiTheme="minorHAnsi"/>
          <w:sz w:val="20"/>
          <w:szCs w:val="20"/>
        </w:rPr>
        <w:t xml:space="preserve"> </w:t>
      </w:r>
      <w:r w:rsidR="005C5272">
        <w:rPr>
          <w:rFonts w:asciiTheme="minorHAnsi" w:hAnsiTheme="minorHAnsi"/>
          <w:sz w:val="20"/>
          <w:szCs w:val="20"/>
        </w:rPr>
        <w:t>de 201</w:t>
      </w:r>
      <w:r w:rsidR="00396DD0">
        <w:rPr>
          <w:rFonts w:asciiTheme="minorHAnsi" w:hAnsiTheme="minorHAnsi"/>
          <w:sz w:val="20"/>
          <w:szCs w:val="20"/>
        </w:rPr>
        <w:t>8</w:t>
      </w:r>
      <w:r w:rsidR="00EA7721">
        <w:rPr>
          <w:rFonts w:asciiTheme="minorHAnsi" w:hAnsiTheme="minorHAnsi"/>
          <w:sz w:val="20"/>
          <w:szCs w:val="20"/>
        </w:rPr>
        <w:t xml:space="preserve"> </w:t>
      </w:r>
      <w:r w:rsidRPr="00DF3CDB">
        <w:rPr>
          <w:rFonts w:asciiTheme="minorHAnsi" w:hAnsiTheme="minorHAnsi"/>
          <w:sz w:val="20"/>
          <w:szCs w:val="20"/>
        </w:rPr>
        <w:t xml:space="preserve">están preparados sobre bases históricas, y </w:t>
      </w:r>
      <w:r w:rsidR="00E7026F" w:rsidRPr="00DF3CDB">
        <w:rPr>
          <w:rFonts w:asciiTheme="minorHAnsi" w:hAnsiTheme="minorHAnsi"/>
          <w:sz w:val="20"/>
          <w:szCs w:val="20"/>
        </w:rPr>
        <w:t>se basa en las siguientes políticas y prácticas contables:</w:t>
      </w:r>
    </w:p>
    <w:p w:rsidR="00E7026F" w:rsidRPr="00DF3CDB" w:rsidRDefault="00E7026F" w:rsidP="00DF3CDB">
      <w:pPr>
        <w:jc w:val="both"/>
        <w:rPr>
          <w:rFonts w:asciiTheme="minorHAnsi" w:hAnsiTheme="minorHAnsi"/>
          <w:sz w:val="20"/>
          <w:szCs w:val="20"/>
        </w:rPr>
      </w:pPr>
    </w:p>
    <w:p w:rsidR="00E7026F" w:rsidRPr="00DF3CDB" w:rsidRDefault="00E7026F" w:rsidP="00DF3CDB">
      <w:pPr>
        <w:numPr>
          <w:ilvl w:val="0"/>
          <w:numId w:val="1"/>
        </w:numPr>
        <w:jc w:val="both"/>
        <w:rPr>
          <w:rFonts w:asciiTheme="minorHAnsi" w:hAnsiTheme="minorHAnsi"/>
          <w:b/>
          <w:sz w:val="20"/>
          <w:szCs w:val="20"/>
        </w:rPr>
      </w:pPr>
      <w:r w:rsidRPr="00DF3CDB">
        <w:rPr>
          <w:rFonts w:asciiTheme="minorHAnsi" w:hAnsiTheme="minorHAnsi"/>
          <w:b/>
          <w:sz w:val="20"/>
          <w:szCs w:val="20"/>
        </w:rPr>
        <w:t>Registro de los ingresos</w:t>
      </w:r>
    </w:p>
    <w:p w:rsidR="00E7026F" w:rsidRPr="00DF3CDB" w:rsidRDefault="00E7026F" w:rsidP="00DF3CDB">
      <w:pPr>
        <w:ind w:left="360"/>
        <w:jc w:val="both"/>
        <w:rPr>
          <w:rFonts w:asciiTheme="minorHAnsi" w:hAnsiTheme="minorHAnsi"/>
          <w:sz w:val="20"/>
          <w:szCs w:val="20"/>
        </w:rPr>
      </w:pPr>
    </w:p>
    <w:p w:rsidR="00E7026F" w:rsidRPr="00DF3CDB" w:rsidRDefault="00E7026F" w:rsidP="00DF3CDB">
      <w:pPr>
        <w:jc w:val="both"/>
        <w:rPr>
          <w:rFonts w:asciiTheme="minorHAnsi" w:hAnsiTheme="minorHAnsi"/>
          <w:sz w:val="20"/>
          <w:szCs w:val="20"/>
        </w:rPr>
      </w:pPr>
      <w:r w:rsidRPr="00DF3CDB">
        <w:rPr>
          <w:rFonts w:asciiTheme="minorHAnsi" w:hAnsiTheme="minorHAnsi"/>
          <w:sz w:val="20"/>
          <w:szCs w:val="20"/>
        </w:rPr>
        <w:t>Los ingresos son registrad</w:t>
      </w:r>
      <w:r w:rsidR="00A4469A" w:rsidRPr="00DF3CDB">
        <w:rPr>
          <w:rFonts w:asciiTheme="minorHAnsi" w:hAnsiTheme="minorHAnsi"/>
          <w:sz w:val="20"/>
          <w:szCs w:val="20"/>
        </w:rPr>
        <w:t>o</w:t>
      </w:r>
      <w:r w:rsidRPr="00DF3CDB">
        <w:rPr>
          <w:rFonts w:asciiTheme="minorHAnsi" w:hAnsiTheme="minorHAnsi"/>
          <w:sz w:val="20"/>
          <w:szCs w:val="20"/>
        </w:rPr>
        <w:t xml:space="preserve">s al recibirse su importe de la </w:t>
      </w:r>
      <w:r w:rsidR="00A4469A" w:rsidRPr="00DF3CDB">
        <w:rPr>
          <w:rFonts w:asciiTheme="minorHAnsi" w:hAnsiTheme="minorHAnsi"/>
          <w:sz w:val="20"/>
          <w:szCs w:val="20"/>
        </w:rPr>
        <w:t xml:space="preserve">Secretaria de </w:t>
      </w:r>
      <w:r w:rsidR="0048507C" w:rsidRPr="00DF3CDB">
        <w:rPr>
          <w:rFonts w:asciiTheme="minorHAnsi" w:hAnsiTheme="minorHAnsi"/>
          <w:sz w:val="20"/>
          <w:szCs w:val="20"/>
        </w:rPr>
        <w:t>Administración y Finanzas.</w:t>
      </w:r>
    </w:p>
    <w:p w:rsidR="00E7026F" w:rsidRPr="00DF3CDB" w:rsidRDefault="00E7026F" w:rsidP="00DF3CDB">
      <w:pPr>
        <w:jc w:val="both"/>
        <w:rPr>
          <w:rFonts w:asciiTheme="minorHAnsi" w:hAnsiTheme="minorHAnsi"/>
          <w:sz w:val="20"/>
          <w:szCs w:val="20"/>
        </w:rPr>
      </w:pPr>
    </w:p>
    <w:p w:rsidR="00E7026F" w:rsidRPr="00DF3CDB" w:rsidRDefault="009C49FE" w:rsidP="00DF3CDB">
      <w:pPr>
        <w:numPr>
          <w:ilvl w:val="0"/>
          <w:numId w:val="1"/>
        </w:numPr>
        <w:jc w:val="both"/>
        <w:rPr>
          <w:rFonts w:asciiTheme="minorHAnsi" w:hAnsiTheme="minorHAnsi"/>
          <w:b/>
          <w:sz w:val="20"/>
          <w:szCs w:val="20"/>
        </w:rPr>
      </w:pPr>
      <w:r w:rsidRPr="00DF3CDB">
        <w:rPr>
          <w:rFonts w:asciiTheme="minorHAnsi" w:hAnsiTheme="minorHAnsi"/>
          <w:b/>
          <w:sz w:val="20"/>
          <w:szCs w:val="20"/>
        </w:rPr>
        <w:t>Registro de los egresos</w:t>
      </w:r>
    </w:p>
    <w:p w:rsidR="00E7026F" w:rsidRPr="00DF3CDB" w:rsidRDefault="00E7026F" w:rsidP="00DF3CDB">
      <w:pPr>
        <w:ind w:left="360"/>
        <w:jc w:val="both"/>
        <w:rPr>
          <w:rFonts w:asciiTheme="minorHAnsi" w:hAnsiTheme="minorHAnsi"/>
          <w:sz w:val="20"/>
          <w:szCs w:val="20"/>
        </w:rPr>
      </w:pPr>
    </w:p>
    <w:p w:rsidR="004014F8" w:rsidRDefault="00E7026F" w:rsidP="00DF3CDB">
      <w:pPr>
        <w:jc w:val="both"/>
        <w:rPr>
          <w:rFonts w:asciiTheme="minorHAnsi" w:hAnsiTheme="minorHAnsi"/>
          <w:sz w:val="20"/>
          <w:szCs w:val="20"/>
        </w:rPr>
      </w:pPr>
      <w:r w:rsidRPr="00DF3CDB">
        <w:rPr>
          <w:rFonts w:asciiTheme="minorHAnsi" w:hAnsiTheme="minorHAnsi"/>
          <w:sz w:val="20"/>
          <w:szCs w:val="20"/>
        </w:rPr>
        <w:t xml:space="preserve">Los egresos </w:t>
      </w:r>
      <w:r w:rsidR="005E4D8C" w:rsidRPr="00DF3CDB">
        <w:rPr>
          <w:rFonts w:asciiTheme="minorHAnsi" w:hAnsiTheme="minorHAnsi"/>
          <w:sz w:val="20"/>
          <w:szCs w:val="20"/>
        </w:rPr>
        <w:t xml:space="preserve">se registran en el momento que a las </w:t>
      </w:r>
      <w:r w:rsidR="0003357E">
        <w:rPr>
          <w:rFonts w:asciiTheme="minorHAnsi" w:hAnsiTheme="minorHAnsi"/>
          <w:sz w:val="20"/>
          <w:szCs w:val="20"/>
        </w:rPr>
        <w:t>C</w:t>
      </w:r>
      <w:r w:rsidR="005E4D8C" w:rsidRPr="00DF3CDB">
        <w:rPr>
          <w:rFonts w:asciiTheme="minorHAnsi" w:hAnsiTheme="minorHAnsi"/>
          <w:sz w:val="20"/>
          <w:szCs w:val="20"/>
        </w:rPr>
        <w:t xml:space="preserve">uentas por </w:t>
      </w:r>
      <w:r w:rsidR="00AE6F69" w:rsidRPr="00DF3CDB">
        <w:rPr>
          <w:rFonts w:asciiTheme="minorHAnsi" w:hAnsiTheme="minorHAnsi"/>
          <w:sz w:val="20"/>
          <w:szCs w:val="20"/>
        </w:rPr>
        <w:t xml:space="preserve">Cobrar </w:t>
      </w:r>
      <w:r w:rsidR="005E4D8C" w:rsidRPr="00DF3CDB">
        <w:rPr>
          <w:rFonts w:asciiTheme="minorHAnsi" w:hAnsiTheme="minorHAnsi"/>
          <w:sz w:val="20"/>
          <w:szCs w:val="20"/>
        </w:rPr>
        <w:t xml:space="preserve">son autorizadas por el </w:t>
      </w:r>
      <w:r w:rsidR="0003357E">
        <w:rPr>
          <w:rFonts w:asciiTheme="minorHAnsi" w:hAnsiTheme="minorHAnsi"/>
          <w:sz w:val="20"/>
          <w:szCs w:val="20"/>
        </w:rPr>
        <w:t>d</w:t>
      </w:r>
      <w:r w:rsidR="005E4D8C" w:rsidRPr="00DF3CDB">
        <w:rPr>
          <w:rFonts w:asciiTheme="minorHAnsi" w:hAnsiTheme="minorHAnsi"/>
          <w:sz w:val="20"/>
          <w:szCs w:val="20"/>
        </w:rPr>
        <w:t xml:space="preserve">epartamento de </w:t>
      </w:r>
      <w:r w:rsidR="0003357E">
        <w:rPr>
          <w:rFonts w:asciiTheme="minorHAnsi" w:hAnsiTheme="minorHAnsi"/>
          <w:sz w:val="20"/>
          <w:szCs w:val="20"/>
        </w:rPr>
        <w:t>c</w:t>
      </w:r>
      <w:r w:rsidR="005E4D8C" w:rsidRPr="00DF3CDB">
        <w:rPr>
          <w:rFonts w:asciiTheme="minorHAnsi" w:hAnsiTheme="minorHAnsi"/>
          <w:sz w:val="20"/>
          <w:szCs w:val="20"/>
        </w:rPr>
        <w:t xml:space="preserve">ontrol </w:t>
      </w:r>
      <w:r w:rsidR="0003357E">
        <w:rPr>
          <w:rFonts w:asciiTheme="minorHAnsi" w:hAnsiTheme="minorHAnsi"/>
          <w:sz w:val="20"/>
          <w:szCs w:val="20"/>
        </w:rPr>
        <w:t>p</w:t>
      </w:r>
      <w:r w:rsidR="005E4D8C" w:rsidRPr="00DF3CDB">
        <w:rPr>
          <w:rFonts w:asciiTheme="minorHAnsi" w:hAnsiTheme="minorHAnsi"/>
          <w:sz w:val="20"/>
          <w:szCs w:val="20"/>
        </w:rPr>
        <w:t>resupuest</w:t>
      </w:r>
      <w:r w:rsidR="004014F8" w:rsidRPr="00DF3CDB">
        <w:rPr>
          <w:rFonts w:asciiTheme="minorHAnsi" w:hAnsiTheme="minorHAnsi"/>
          <w:sz w:val="20"/>
          <w:szCs w:val="20"/>
        </w:rPr>
        <w:t>al</w:t>
      </w:r>
      <w:r w:rsidR="005E4D8C" w:rsidRPr="00DF3CDB">
        <w:rPr>
          <w:rFonts w:asciiTheme="minorHAnsi" w:hAnsiTheme="minorHAnsi"/>
          <w:sz w:val="20"/>
          <w:szCs w:val="20"/>
        </w:rPr>
        <w:t>ene</w:t>
      </w:r>
      <w:r w:rsidR="004014F8" w:rsidRPr="00DF3CDB">
        <w:rPr>
          <w:rFonts w:asciiTheme="minorHAnsi" w:hAnsiTheme="minorHAnsi"/>
          <w:sz w:val="20"/>
          <w:szCs w:val="20"/>
        </w:rPr>
        <w:t xml:space="preserve">l </w:t>
      </w:r>
      <w:r w:rsidR="005E4D8C" w:rsidRPr="00DF3CDB">
        <w:rPr>
          <w:rFonts w:asciiTheme="minorHAnsi" w:hAnsiTheme="minorHAnsi"/>
          <w:sz w:val="20"/>
          <w:szCs w:val="20"/>
        </w:rPr>
        <w:t xml:space="preserve"> Sistema Integ</w:t>
      </w:r>
      <w:r w:rsidR="004014F8" w:rsidRPr="00DF3CDB">
        <w:rPr>
          <w:rFonts w:asciiTheme="minorHAnsi" w:hAnsiTheme="minorHAnsi"/>
          <w:sz w:val="20"/>
          <w:szCs w:val="20"/>
        </w:rPr>
        <w:t xml:space="preserve">ral </w:t>
      </w:r>
      <w:r w:rsidR="005425A2" w:rsidRPr="00DF3CDB">
        <w:rPr>
          <w:rFonts w:asciiTheme="minorHAnsi" w:hAnsiTheme="minorHAnsi"/>
          <w:sz w:val="20"/>
          <w:szCs w:val="20"/>
        </w:rPr>
        <w:t>Contable</w:t>
      </w:r>
      <w:r w:rsidR="004014F8" w:rsidRPr="00DF3CDB">
        <w:rPr>
          <w:rFonts w:asciiTheme="minorHAnsi" w:hAnsiTheme="minorHAnsi"/>
          <w:sz w:val="20"/>
          <w:szCs w:val="20"/>
        </w:rPr>
        <w:t xml:space="preserve"> y a la  cuenta por pagar se adjuntan los documentos que amparan la adquisición de los bienes o la prestación del</w:t>
      </w:r>
      <w:r w:rsidR="005425A2" w:rsidRPr="00DF3CDB">
        <w:rPr>
          <w:rFonts w:asciiTheme="minorHAnsi" w:hAnsiTheme="minorHAnsi"/>
          <w:sz w:val="20"/>
          <w:szCs w:val="20"/>
        </w:rPr>
        <w:t>os</w:t>
      </w:r>
      <w:r w:rsidR="004014F8" w:rsidRPr="00DF3CDB">
        <w:rPr>
          <w:rFonts w:asciiTheme="minorHAnsi" w:hAnsiTheme="minorHAnsi"/>
          <w:sz w:val="20"/>
          <w:szCs w:val="20"/>
        </w:rPr>
        <w:t xml:space="preserve"> servicio</w:t>
      </w:r>
      <w:r w:rsidR="005425A2" w:rsidRPr="00DF3CDB">
        <w:rPr>
          <w:rFonts w:asciiTheme="minorHAnsi" w:hAnsiTheme="minorHAnsi"/>
          <w:sz w:val="20"/>
          <w:szCs w:val="20"/>
        </w:rPr>
        <w:t>s</w:t>
      </w:r>
      <w:r w:rsidR="004014F8" w:rsidRPr="00DF3CDB">
        <w:rPr>
          <w:rFonts w:asciiTheme="minorHAnsi" w:hAnsiTheme="minorHAnsi"/>
          <w:sz w:val="20"/>
          <w:szCs w:val="20"/>
        </w:rPr>
        <w:t>.</w:t>
      </w:r>
      <w:r w:rsidR="000E44C7">
        <w:rPr>
          <w:rFonts w:asciiTheme="minorHAnsi" w:hAnsiTheme="minorHAnsi"/>
          <w:sz w:val="20"/>
          <w:szCs w:val="20"/>
        </w:rPr>
        <w:t xml:space="preserve"> </w:t>
      </w:r>
      <w:r w:rsidR="004014F8" w:rsidRPr="00DF3CDB">
        <w:rPr>
          <w:rFonts w:asciiTheme="minorHAnsi" w:hAnsiTheme="minorHAnsi"/>
          <w:sz w:val="20"/>
          <w:szCs w:val="20"/>
        </w:rPr>
        <w:t xml:space="preserve">La adquisición de materiales y suministros son consideradas directamente como </w:t>
      </w:r>
      <w:r w:rsidR="00A4469A" w:rsidRPr="00DF3CDB">
        <w:rPr>
          <w:rFonts w:asciiTheme="minorHAnsi" w:hAnsiTheme="minorHAnsi"/>
          <w:sz w:val="20"/>
          <w:szCs w:val="20"/>
        </w:rPr>
        <w:t>gastos</w:t>
      </w:r>
      <w:r w:rsidR="004014F8" w:rsidRPr="00DF3CDB">
        <w:rPr>
          <w:rFonts w:asciiTheme="minorHAnsi" w:hAnsiTheme="minorHAnsi"/>
          <w:sz w:val="20"/>
          <w:szCs w:val="20"/>
        </w:rPr>
        <w:t xml:space="preserve"> y su utilización es generalmente inmediata.</w:t>
      </w:r>
    </w:p>
    <w:p w:rsidR="00552982" w:rsidRDefault="00552982" w:rsidP="00DF3CDB">
      <w:pPr>
        <w:jc w:val="both"/>
        <w:rPr>
          <w:rFonts w:asciiTheme="minorHAnsi" w:hAnsiTheme="minorHAnsi"/>
          <w:sz w:val="20"/>
          <w:szCs w:val="20"/>
        </w:rPr>
      </w:pPr>
    </w:p>
    <w:p w:rsidR="00552982" w:rsidRPr="000B3BCC" w:rsidRDefault="00552982" w:rsidP="00552982">
      <w:pPr>
        <w:rPr>
          <w:rFonts w:asciiTheme="minorHAnsi" w:hAnsiTheme="minorHAnsi" w:cstheme="minorHAnsi"/>
          <w:b/>
          <w:sz w:val="20"/>
          <w:szCs w:val="20"/>
          <w:u w:val="single"/>
        </w:rPr>
      </w:pPr>
      <w:r w:rsidRPr="000B3BCC">
        <w:rPr>
          <w:rFonts w:asciiTheme="minorHAnsi" w:hAnsiTheme="minorHAnsi" w:cstheme="minorHAnsi"/>
          <w:b/>
          <w:sz w:val="20"/>
          <w:szCs w:val="20"/>
          <w:u w:val="single"/>
        </w:rPr>
        <w:t>NOTAS DE DESGLOSE</w:t>
      </w:r>
    </w:p>
    <w:p w:rsidR="005E4D8C" w:rsidRPr="00DF3CDB" w:rsidRDefault="005E4D8C" w:rsidP="00DF3CDB">
      <w:pPr>
        <w:jc w:val="both"/>
        <w:rPr>
          <w:rFonts w:asciiTheme="minorHAnsi" w:hAnsiTheme="minorHAnsi"/>
          <w:sz w:val="20"/>
          <w:szCs w:val="20"/>
        </w:rPr>
      </w:pPr>
    </w:p>
    <w:p w:rsidR="00751F52" w:rsidRPr="00DF3CDB" w:rsidRDefault="00751F52" w:rsidP="00DF3CDB">
      <w:pPr>
        <w:pStyle w:val="Ttulo6"/>
        <w:jc w:val="both"/>
        <w:rPr>
          <w:rFonts w:asciiTheme="minorHAnsi" w:hAnsiTheme="minorHAnsi"/>
          <w:sz w:val="20"/>
          <w:szCs w:val="20"/>
        </w:rPr>
      </w:pPr>
      <w:r w:rsidRPr="00DF3CDB">
        <w:rPr>
          <w:rFonts w:asciiTheme="minorHAnsi" w:hAnsiTheme="minorHAnsi"/>
          <w:sz w:val="20"/>
          <w:szCs w:val="20"/>
        </w:rPr>
        <w:t>Nota  3   Efectivo y equivalente en efectivo.</w:t>
      </w:r>
    </w:p>
    <w:p w:rsidR="00751F52" w:rsidRPr="00DF3CDB" w:rsidRDefault="00751F52" w:rsidP="00DF3CDB">
      <w:pPr>
        <w:jc w:val="both"/>
        <w:rPr>
          <w:rFonts w:asciiTheme="minorHAnsi" w:hAnsiTheme="minorHAnsi"/>
          <w:sz w:val="20"/>
          <w:szCs w:val="20"/>
        </w:rPr>
      </w:pPr>
      <w:r w:rsidRPr="00DF3CDB">
        <w:rPr>
          <w:rFonts w:asciiTheme="minorHAnsi" w:hAnsiTheme="minorHAnsi"/>
          <w:sz w:val="20"/>
          <w:szCs w:val="20"/>
        </w:rPr>
        <w:t>Las cantidades que aquí aparecen</w:t>
      </w:r>
      <w:r w:rsidR="00313554">
        <w:rPr>
          <w:rFonts w:asciiTheme="minorHAnsi" w:hAnsiTheme="minorHAnsi"/>
          <w:sz w:val="20"/>
          <w:szCs w:val="20"/>
        </w:rPr>
        <w:t xml:space="preserve"> al </w:t>
      </w:r>
      <w:r w:rsidR="00C77A7C">
        <w:rPr>
          <w:rFonts w:asciiTheme="minorHAnsi" w:hAnsiTheme="minorHAnsi"/>
          <w:sz w:val="20"/>
          <w:szCs w:val="20"/>
        </w:rPr>
        <w:t>31</w:t>
      </w:r>
      <w:r w:rsidR="00EF095D" w:rsidRPr="00A76FFB">
        <w:rPr>
          <w:rFonts w:asciiTheme="minorHAnsi" w:hAnsiTheme="minorHAnsi"/>
          <w:sz w:val="20"/>
          <w:szCs w:val="20"/>
        </w:rPr>
        <w:t xml:space="preserve"> de </w:t>
      </w:r>
      <w:r w:rsidR="00900104">
        <w:rPr>
          <w:rFonts w:asciiTheme="minorHAnsi" w:hAnsiTheme="minorHAnsi"/>
          <w:sz w:val="20"/>
          <w:szCs w:val="20"/>
        </w:rPr>
        <w:t>Marz</w:t>
      </w:r>
      <w:r w:rsidR="00396DD0">
        <w:rPr>
          <w:rFonts w:asciiTheme="minorHAnsi" w:hAnsiTheme="minorHAnsi"/>
          <w:sz w:val="20"/>
          <w:szCs w:val="20"/>
        </w:rPr>
        <w:t>o</w:t>
      </w:r>
      <w:r w:rsidR="005C5272">
        <w:rPr>
          <w:rFonts w:asciiTheme="minorHAnsi" w:hAnsiTheme="minorHAnsi"/>
          <w:sz w:val="20"/>
          <w:szCs w:val="20"/>
        </w:rPr>
        <w:t xml:space="preserve"> de 201</w:t>
      </w:r>
      <w:r w:rsidR="00396DD0">
        <w:rPr>
          <w:rFonts w:asciiTheme="minorHAnsi" w:hAnsiTheme="minorHAnsi"/>
          <w:sz w:val="20"/>
          <w:szCs w:val="20"/>
        </w:rPr>
        <w:t>8</w:t>
      </w:r>
      <w:r w:rsidRPr="00DF3CDB">
        <w:rPr>
          <w:rFonts w:asciiTheme="minorHAnsi" w:hAnsiTheme="minorHAnsi"/>
          <w:sz w:val="20"/>
          <w:szCs w:val="20"/>
        </w:rPr>
        <w:t xml:space="preserve"> se componen de:</w:t>
      </w:r>
    </w:p>
    <w:p w:rsidR="00751F52" w:rsidRPr="00DF3CDB" w:rsidRDefault="00751F52" w:rsidP="00DF3CDB">
      <w:pPr>
        <w:jc w:val="both"/>
        <w:rPr>
          <w:rFonts w:asciiTheme="minorHAnsi" w:hAnsiTheme="minorHAnsi"/>
          <w:sz w:val="20"/>
          <w:szCs w:val="20"/>
        </w:rPr>
      </w:pPr>
    </w:p>
    <w:p w:rsidR="00271A46" w:rsidRPr="003C40BA" w:rsidRDefault="00271A46" w:rsidP="0003357E">
      <w:pPr>
        <w:rPr>
          <w:rFonts w:asciiTheme="minorHAnsi" w:hAnsiTheme="minorHAnsi"/>
          <w:b/>
          <w:sz w:val="20"/>
          <w:szCs w:val="20"/>
        </w:rPr>
      </w:pPr>
      <w:r w:rsidRPr="003C40BA">
        <w:rPr>
          <w:rFonts w:asciiTheme="minorHAnsi" w:hAnsiTheme="minorHAnsi"/>
          <w:b/>
          <w:sz w:val="20"/>
          <w:szCs w:val="20"/>
        </w:rPr>
        <w:t>Fondo Fi</w:t>
      </w:r>
      <w:r>
        <w:rPr>
          <w:rFonts w:asciiTheme="minorHAnsi" w:hAnsiTheme="minorHAnsi"/>
          <w:b/>
          <w:sz w:val="20"/>
          <w:szCs w:val="20"/>
        </w:rPr>
        <w:t>j</w:t>
      </w:r>
      <w:r w:rsidRPr="003C40BA">
        <w:rPr>
          <w:rFonts w:asciiTheme="minorHAnsi" w:hAnsiTheme="minorHAnsi"/>
          <w:b/>
          <w:sz w:val="20"/>
          <w:szCs w:val="20"/>
        </w:rPr>
        <w:t>o</w:t>
      </w:r>
      <w:r w:rsidR="0031346E">
        <w:rPr>
          <w:rFonts w:asciiTheme="minorHAnsi" w:hAnsiTheme="minorHAnsi"/>
          <w:b/>
          <w:sz w:val="20"/>
          <w:szCs w:val="20"/>
        </w:rPr>
        <w:t xml:space="preserve">                             </w:t>
      </w:r>
      <w:r>
        <w:rPr>
          <w:rFonts w:asciiTheme="minorHAnsi" w:hAnsiTheme="minorHAnsi"/>
          <w:b/>
          <w:sz w:val="20"/>
          <w:szCs w:val="20"/>
        </w:rPr>
        <w:t>$</w:t>
      </w:r>
      <w:r w:rsidR="00110A27" w:rsidRPr="00110A27">
        <w:rPr>
          <w:rFonts w:asciiTheme="minorHAnsi" w:hAnsiTheme="minorHAnsi"/>
          <w:b/>
          <w:sz w:val="20"/>
          <w:szCs w:val="20"/>
        </w:rPr>
        <w:t>2</w:t>
      </w:r>
      <w:r w:rsidR="008C1C0C">
        <w:rPr>
          <w:rFonts w:asciiTheme="minorHAnsi" w:hAnsiTheme="minorHAnsi"/>
          <w:b/>
          <w:sz w:val="20"/>
          <w:szCs w:val="20"/>
        </w:rPr>
        <w:t>0</w:t>
      </w:r>
      <w:r w:rsidR="00110A27" w:rsidRPr="00110A27">
        <w:rPr>
          <w:rFonts w:asciiTheme="minorHAnsi" w:hAnsiTheme="minorHAnsi"/>
          <w:b/>
          <w:sz w:val="20"/>
          <w:szCs w:val="20"/>
        </w:rPr>
        <w:t>,000.00</w:t>
      </w:r>
    </w:p>
    <w:p w:rsidR="006C7312" w:rsidRPr="0031346E" w:rsidRDefault="00271A46" w:rsidP="006C7312">
      <w:pPr>
        <w:rPr>
          <w:rFonts w:asciiTheme="minorHAnsi" w:hAnsiTheme="minorHAnsi"/>
          <w:b/>
          <w:iCs/>
          <w:sz w:val="20"/>
          <w:szCs w:val="20"/>
          <w:u w:val="single"/>
        </w:rPr>
      </w:pPr>
      <w:r w:rsidRPr="0031346E">
        <w:rPr>
          <w:rFonts w:asciiTheme="minorHAnsi" w:hAnsiTheme="minorHAnsi"/>
          <w:b/>
          <w:sz w:val="20"/>
          <w:szCs w:val="20"/>
        </w:rPr>
        <w:t xml:space="preserve">Bancos                           </w:t>
      </w:r>
      <w:r w:rsidRPr="0031346E">
        <w:rPr>
          <w:rFonts w:asciiTheme="minorHAnsi" w:hAnsiTheme="minorHAnsi"/>
          <w:b/>
          <w:sz w:val="20"/>
          <w:szCs w:val="20"/>
          <w:u w:val="single"/>
        </w:rPr>
        <w:t>$</w:t>
      </w:r>
      <w:r w:rsidR="00C77A7C">
        <w:rPr>
          <w:rFonts w:asciiTheme="minorHAnsi" w:hAnsiTheme="minorHAnsi"/>
          <w:b/>
          <w:sz w:val="20"/>
          <w:szCs w:val="20"/>
          <w:u w:val="single"/>
        </w:rPr>
        <w:t>1</w:t>
      </w:r>
      <w:r w:rsidR="0075679B">
        <w:rPr>
          <w:rFonts w:asciiTheme="minorHAnsi" w:hAnsiTheme="minorHAnsi"/>
          <w:b/>
          <w:sz w:val="20"/>
          <w:szCs w:val="20"/>
          <w:u w:val="single"/>
        </w:rPr>
        <w:t>6</w:t>
      </w:r>
      <w:r w:rsidR="00120DB9">
        <w:rPr>
          <w:rFonts w:asciiTheme="minorHAnsi" w:hAnsiTheme="minorHAnsi"/>
          <w:b/>
          <w:sz w:val="20"/>
          <w:szCs w:val="20"/>
          <w:u w:val="single"/>
        </w:rPr>
        <w:t>, 395,630.22</w:t>
      </w:r>
    </w:p>
    <w:p w:rsidR="0075679B" w:rsidRDefault="00271A46" w:rsidP="0003357E">
      <w:pPr>
        <w:rPr>
          <w:rFonts w:asciiTheme="minorHAnsi" w:hAnsiTheme="minorHAnsi"/>
          <w:b/>
          <w:sz w:val="20"/>
          <w:szCs w:val="20"/>
        </w:rPr>
      </w:pPr>
      <w:r w:rsidRPr="003C40BA">
        <w:rPr>
          <w:rFonts w:asciiTheme="minorHAnsi" w:hAnsiTheme="minorHAnsi"/>
          <w:b/>
          <w:sz w:val="20"/>
          <w:szCs w:val="20"/>
        </w:rPr>
        <w:t>Total</w:t>
      </w:r>
      <w:r>
        <w:rPr>
          <w:rFonts w:asciiTheme="minorHAnsi" w:hAnsiTheme="minorHAnsi"/>
          <w:b/>
          <w:sz w:val="20"/>
          <w:szCs w:val="20"/>
        </w:rPr>
        <w:t xml:space="preserve"> </w:t>
      </w:r>
      <w:r w:rsidR="0031346E">
        <w:rPr>
          <w:rFonts w:asciiTheme="minorHAnsi" w:hAnsiTheme="minorHAnsi"/>
          <w:b/>
          <w:sz w:val="20"/>
          <w:szCs w:val="20"/>
        </w:rPr>
        <w:t xml:space="preserve">                              </w:t>
      </w:r>
      <w:r>
        <w:rPr>
          <w:rFonts w:asciiTheme="minorHAnsi" w:hAnsiTheme="minorHAnsi"/>
          <w:b/>
          <w:sz w:val="20"/>
          <w:szCs w:val="20"/>
        </w:rPr>
        <w:t>$</w:t>
      </w:r>
      <w:r w:rsidR="0075679B">
        <w:rPr>
          <w:rFonts w:asciiTheme="minorHAnsi" w:hAnsiTheme="minorHAnsi"/>
          <w:b/>
          <w:sz w:val="20"/>
          <w:szCs w:val="20"/>
        </w:rPr>
        <w:t>16</w:t>
      </w:r>
      <w:r w:rsidR="00120DB9">
        <w:rPr>
          <w:rFonts w:asciiTheme="minorHAnsi" w:hAnsiTheme="minorHAnsi"/>
          <w:b/>
          <w:sz w:val="20"/>
          <w:szCs w:val="20"/>
        </w:rPr>
        <w:t>, 415,630.22</w:t>
      </w:r>
    </w:p>
    <w:p w:rsidR="00271A46" w:rsidRPr="003C40BA" w:rsidRDefault="006C7312" w:rsidP="0003357E">
      <w:pPr>
        <w:rPr>
          <w:rFonts w:asciiTheme="minorHAnsi" w:hAnsiTheme="minorHAnsi"/>
          <w:b/>
          <w:sz w:val="20"/>
          <w:szCs w:val="20"/>
        </w:rPr>
      </w:pPr>
      <w:r w:rsidRPr="006C7312">
        <w:rPr>
          <w:rFonts w:asciiTheme="minorHAnsi" w:hAnsiTheme="minorHAnsi"/>
          <w:b/>
          <w:sz w:val="20"/>
          <w:szCs w:val="20"/>
        </w:rPr>
        <w:tab/>
      </w:r>
    </w:p>
    <w:p w:rsidR="00751F52" w:rsidRDefault="00751F52" w:rsidP="00DF3CDB">
      <w:pPr>
        <w:jc w:val="both"/>
        <w:rPr>
          <w:rFonts w:asciiTheme="minorHAnsi" w:hAnsiTheme="minorHAnsi"/>
          <w:sz w:val="20"/>
          <w:szCs w:val="20"/>
        </w:rPr>
      </w:pPr>
    </w:p>
    <w:p w:rsidR="00B379AC" w:rsidRPr="00DF3CDB" w:rsidRDefault="00B379AC" w:rsidP="00DF3CDB">
      <w:pPr>
        <w:jc w:val="both"/>
        <w:rPr>
          <w:rFonts w:asciiTheme="minorHAnsi" w:hAnsiTheme="minorHAnsi"/>
          <w:sz w:val="20"/>
          <w:szCs w:val="20"/>
        </w:rPr>
      </w:pPr>
    </w:p>
    <w:p w:rsidR="00751F52" w:rsidRPr="00DF3CDB" w:rsidRDefault="00751F52" w:rsidP="00DF3CDB">
      <w:pPr>
        <w:pStyle w:val="Ttulo6"/>
        <w:jc w:val="both"/>
        <w:rPr>
          <w:rFonts w:asciiTheme="minorHAnsi" w:hAnsiTheme="minorHAnsi"/>
          <w:sz w:val="20"/>
          <w:szCs w:val="20"/>
        </w:rPr>
      </w:pPr>
      <w:r w:rsidRPr="00DF3CDB">
        <w:rPr>
          <w:rFonts w:asciiTheme="minorHAnsi" w:hAnsiTheme="minorHAnsi"/>
          <w:sz w:val="20"/>
          <w:szCs w:val="20"/>
        </w:rPr>
        <w:lastRenderedPageBreak/>
        <w:t>Nota  4 Bienes Muebles.</w:t>
      </w:r>
    </w:p>
    <w:p w:rsidR="00153BA5" w:rsidRPr="00153BA5" w:rsidRDefault="00153BA5" w:rsidP="00DF3CDB">
      <w:pPr>
        <w:jc w:val="both"/>
        <w:rPr>
          <w:rFonts w:asciiTheme="minorHAnsi" w:hAnsiTheme="minorHAnsi"/>
          <w:sz w:val="18"/>
          <w:szCs w:val="20"/>
          <w:u w:val="single"/>
        </w:rPr>
      </w:pPr>
    </w:p>
    <w:p w:rsidR="00751F52" w:rsidRPr="00DF3CDB" w:rsidRDefault="000B1283" w:rsidP="00DF3CDB">
      <w:pPr>
        <w:jc w:val="both"/>
        <w:rPr>
          <w:rFonts w:asciiTheme="minorHAnsi" w:hAnsiTheme="minorHAnsi"/>
          <w:sz w:val="20"/>
          <w:szCs w:val="20"/>
        </w:rPr>
      </w:pPr>
      <w:r w:rsidRPr="00DF3CDB">
        <w:rPr>
          <w:rFonts w:asciiTheme="minorHAnsi" w:hAnsiTheme="minorHAnsi"/>
          <w:sz w:val="20"/>
          <w:szCs w:val="20"/>
        </w:rPr>
        <w:t xml:space="preserve">Al </w:t>
      </w:r>
      <w:r w:rsidR="00C77A7C">
        <w:rPr>
          <w:rFonts w:asciiTheme="minorHAnsi" w:hAnsiTheme="minorHAnsi"/>
          <w:sz w:val="20"/>
          <w:szCs w:val="20"/>
        </w:rPr>
        <w:t>31</w:t>
      </w:r>
      <w:r w:rsidR="00EF095D" w:rsidRPr="00A76FFB">
        <w:rPr>
          <w:rFonts w:asciiTheme="minorHAnsi" w:hAnsiTheme="minorHAnsi"/>
          <w:sz w:val="20"/>
          <w:szCs w:val="20"/>
        </w:rPr>
        <w:t xml:space="preserve"> de </w:t>
      </w:r>
      <w:r w:rsidR="00900104">
        <w:rPr>
          <w:rFonts w:asciiTheme="minorHAnsi" w:hAnsiTheme="minorHAnsi"/>
          <w:sz w:val="20"/>
          <w:szCs w:val="20"/>
        </w:rPr>
        <w:t>Marzo</w:t>
      </w:r>
      <w:r w:rsidR="005C5272">
        <w:rPr>
          <w:rFonts w:asciiTheme="minorHAnsi" w:hAnsiTheme="minorHAnsi"/>
          <w:sz w:val="20"/>
          <w:szCs w:val="20"/>
        </w:rPr>
        <w:t xml:space="preserve"> de 201</w:t>
      </w:r>
      <w:r w:rsidR="00396DD0">
        <w:rPr>
          <w:rFonts w:asciiTheme="minorHAnsi" w:hAnsiTheme="minorHAnsi"/>
          <w:sz w:val="20"/>
          <w:szCs w:val="20"/>
        </w:rPr>
        <w:t>8</w:t>
      </w:r>
      <w:r w:rsidR="0031346E">
        <w:rPr>
          <w:rFonts w:asciiTheme="minorHAnsi" w:hAnsiTheme="minorHAnsi"/>
          <w:sz w:val="20"/>
          <w:szCs w:val="20"/>
        </w:rPr>
        <w:t xml:space="preserve"> </w:t>
      </w:r>
      <w:r w:rsidR="00DA3C85">
        <w:rPr>
          <w:rFonts w:asciiTheme="minorHAnsi" w:hAnsiTheme="minorHAnsi"/>
          <w:sz w:val="20"/>
          <w:szCs w:val="20"/>
        </w:rPr>
        <w:t xml:space="preserve">los </w:t>
      </w:r>
      <w:r w:rsidRPr="00DF3CDB">
        <w:rPr>
          <w:rFonts w:asciiTheme="minorHAnsi" w:hAnsiTheme="minorHAnsi"/>
          <w:sz w:val="20"/>
          <w:szCs w:val="20"/>
        </w:rPr>
        <w:t xml:space="preserve">activos fijos </w:t>
      </w:r>
      <w:r w:rsidR="001D1B8C">
        <w:rPr>
          <w:rFonts w:asciiTheme="minorHAnsi" w:hAnsiTheme="minorHAnsi"/>
          <w:sz w:val="20"/>
          <w:szCs w:val="20"/>
        </w:rPr>
        <w:t xml:space="preserve">se integran </w:t>
      </w:r>
      <w:r w:rsidR="002D681F" w:rsidRPr="00DF3CDB">
        <w:rPr>
          <w:rFonts w:asciiTheme="minorHAnsi" w:hAnsiTheme="minorHAnsi"/>
          <w:sz w:val="20"/>
          <w:szCs w:val="20"/>
        </w:rPr>
        <w:t>de la siguiente manera:</w:t>
      </w:r>
    </w:p>
    <w:p w:rsidR="00751F52" w:rsidRDefault="00D4567D" w:rsidP="00D4567D">
      <w:pPr>
        <w:tabs>
          <w:tab w:val="left" w:pos="4260"/>
        </w:tabs>
        <w:jc w:val="both"/>
        <w:rPr>
          <w:rFonts w:asciiTheme="minorHAnsi" w:hAnsiTheme="minorHAnsi"/>
          <w:sz w:val="20"/>
          <w:szCs w:val="20"/>
        </w:rPr>
      </w:pPr>
      <w:r>
        <w:rPr>
          <w:rFonts w:asciiTheme="minorHAnsi" w:hAnsiTheme="minorHAnsi"/>
          <w:sz w:val="20"/>
          <w:szCs w:val="20"/>
        </w:rPr>
        <w:tab/>
      </w:r>
    </w:p>
    <w:tbl>
      <w:tblPr>
        <w:tblpPr w:leftFromText="141" w:rightFromText="141" w:vertAnchor="text" w:tblpXSpec="center" w:tblpY="1"/>
        <w:tblOverlap w:val="never"/>
        <w:tblW w:w="591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63"/>
        <w:gridCol w:w="1456"/>
      </w:tblGrid>
      <w:tr w:rsidR="00C77A7C" w:rsidTr="00C77A7C">
        <w:trPr>
          <w:trHeight w:val="126"/>
        </w:trPr>
        <w:tc>
          <w:tcPr>
            <w:tcW w:w="4463" w:type="dxa"/>
            <w:shd w:val="clear" w:color="auto" w:fill="auto"/>
            <w:vAlign w:val="center"/>
            <w:hideMark/>
          </w:tcPr>
          <w:p w:rsidR="00C77A7C" w:rsidRDefault="00C77A7C" w:rsidP="00C77A7C">
            <w:pPr>
              <w:jc w:val="center"/>
              <w:rPr>
                <w:rFonts w:ascii="Calibri" w:hAnsi="Calibri"/>
                <w:b/>
                <w:bCs/>
                <w:color w:val="000000"/>
                <w:sz w:val="20"/>
                <w:szCs w:val="20"/>
              </w:rPr>
            </w:pPr>
            <w:r>
              <w:rPr>
                <w:rFonts w:ascii="Calibri" w:hAnsi="Calibri"/>
                <w:b/>
                <w:bCs/>
                <w:color w:val="000000"/>
                <w:sz w:val="20"/>
                <w:szCs w:val="20"/>
              </w:rPr>
              <w:t>Cuenta</w:t>
            </w:r>
          </w:p>
        </w:tc>
        <w:tc>
          <w:tcPr>
            <w:tcW w:w="1456" w:type="dxa"/>
            <w:shd w:val="clear" w:color="auto" w:fill="auto"/>
            <w:vAlign w:val="center"/>
            <w:hideMark/>
          </w:tcPr>
          <w:p w:rsidR="00C77A7C" w:rsidRDefault="00C77A7C" w:rsidP="00C77A7C">
            <w:pPr>
              <w:jc w:val="center"/>
              <w:rPr>
                <w:rFonts w:ascii="Calibri" w:hAnsi="Calibri"/>
                <w:b/>
                <w:bCs/>
                <w:color w:val="000000"/>
                <w:sz w:val="20"/>
                <w:szCs w:val="20"/>
              </w:rPr>
            </w:pPr>
            <w:r>
              <w:rPr>
                <w:rFonts w:ascii="Calibri" w:hAnsi="Calibri"/>
                <w:b/>
                <w:bCs/>
                <w:color w:val="000000"/>
                <w:sz w:val="20"/>
                <w:szCs w:val="20"/>
              </w:rPr>
              <w:t xml:space="preserve"> Total </w:t>
            </w:r>
          </w:p>
        </w:tc>
      </w:tr>
      <w:tr w:rsidR="00C77A7C" w:rsidTr="00C77A7C">
        <w:trPr>
          <w:trHeight w:val="89"/>
        </w:trPr>
        <w:tc>
          <w:tcPr>
            <w:tcW w:w="4463" w:type="dxa"/>
            <w:shd w:val="clear" w:color="auto" w:fill="auto"/>
            <w:vAlign w:val="center"/>
            <w:hideMark/>
          </w:tcPr>
          <w:p w:rsidR="00C77A7C" w:rsidRDefault="00C77A7C" w:rsidP="00C77A7C">
            <w:pPr>
              <w:jc w:val="both"/>
              <w:rPr>
                <w:rFonts w:ascii="Calibri" w:hAnsi="Calibri"/>
                <w:color w:val="000000"/>
                <w:sz w:val="20"/>
                <w:szCs w:val="20"/>
              </w:rPr>
            </w:pPr>
            <w:r>
              <w:rPr>
                <w:rFonts w:ascii="Calibri" w:hAnsi="Calibri"/>
                <w:color w:val="000000"/>
                <w:sz w:val="20"/>
                <w:szCs w:val="20"/>
              </w:rPr>
              <w:t>Muebles de Oficina y Estantería</w:t>
            </w:r>
          </w:p>
        </w:tc>
        <w:tc>
          <w:tcPr>
            <w:tcW w:w="1456" w:type="dxa"/>
            <w:shd w:val="clear" w:color="auto" w:fill="auto"/>
            <w:vAlign w:val="center"/>
            <w:hideMark/>
          </w:tcPr>
          <w:p w:rsidR="00C77A7C" w:rsidRDefault="00B81BA8" w:rsidP="00B81BA8">
            <w:pPr>
              <w:jc w:val="right"/>
              <w:rPr>
                <w:rFonts w:ascii="Calibri" w:hAnsi="Calibri"/>
                <w:color w:val="000000"/>
                <w:sz w:val="18"/>
                <w:szCs w:val="18"/>
              </w:rPr>
            </w:pPr>
            <w:r>
              <w:rPr>
                <w:rFonts w:ascii="Calibri" w:hAnsi="Calibri"/>
                <w:color w:val="000000"/>
                <w:sz w:val="18"/>
                <w:szCs w:val="18"/>
              </w:rPr>
              <w:t xml:space="preserve">$  2,691,863.69 </w:t>
            </w:r>
          </w:p>
        </w:tc>
      </w:tr>
      <w:tr w:rsidR="00C77A7C" w:rsidTr="00C77A7C">
        <w:trPr>
          <w:trHeight w:val="70"/>
        </w:trPr>
        <w:tc>
          <w:tcPr>
            <w:tcW w:w="4463" w:type="dxa"/>
            <w:shd w:val="clear" w:color="auto" w:fill="auto"/>
            <w:vAlign w:val="center"/>
            <w:hideMark/>
          </w:tcPr>
          <w:p w:rsidR="00C77A7C" w:rsidRDefault="00C77A7C" w:rsidP="00C77A7C">
            <w:pPr>
              <w:jc w:val="both"/>
              <w:rPr>
                <w:rFonts w:ascii="Calibri" w:hAnsi="Calibri"/>
                <w:color w:val="000000"/>
                <w:sz w:val="20"/>
                <w:szCs w:val="20"/>
              </w:rPr>
            </w:pPr>
            <w:r>
              <w:rPr>
                <w:rFonts w:ascii="Calibri" w:hAnsi="Calibri"/>
                <w:color w:val="000000"/>
                <w:sz w:val="20"/>
                <w:szCs w:val="20"/>
              </w:rPr>
              <w:t>Mobiliario y Equipo Educacional y Recreativo</w:t>
            </w:r>
          </w:p>
        </w:tc>
        <w:tc>
          <w:tcPr>
            <w:tcW w:w="1456" w:type="dxa"/>
            <w:shd w:val="clear" w:color="auto" w:fill="auto"/>
            <w:vAlign w:val="center"/>
            <w:hideMark/>
          </w:tcPr>
          <w:p w:rsidR="00B81BA8" w:rsidRDefault="00C77A7C" w:rsidP="00C77A7C">
            <w:pPr>
              <w:jc w:val="right"/>
              <w:rPr>
                <w:rFonts w:ascii="Calibri" w:hAnsi="Calibri"/>
                <w:color w:val="000000"/>
                <w:sz w:val="18"/>
                <w:szCs w:val="18"/>
              </w:rPr>
            </w:pPr>
            <w:r>
              <w:rPr>
                <w:rFonts w:ascii="Calibri" w:hAnsi="Calibri"/>
                <w:color w:val="000000"/>
                <w:sz w:val="18"/>
                <w:szCs w:val="18"/>
              </w:rPr>
              <w:t xml:space="preserve"> </w:t>
            </w:r>
          </w:p>
          <w:p w:rsidR="00C77A7C" w:rsidRDefault="00B81BA8" w:rsidP="00B81BA8">
            <w:pPr>
              <w:jc w:val="right"/>
              <w:rPr>
                <w:rFonts w:ascii="Calibri" w:hAnsi="Calibri"/>
                <w:color w:val="000000"/>
                <w:sz w:val="18"/>
                <w:szCs w:val="18"/>
              </w:rPr>
            </w:pPr>
            <w:r>
              <w:rPr>
                <w:rFonts w:ascii="Calibri" w:hAnsi="Calibri"/>
                <w:color w:val="000000"/>
                <w:sz w:val="18"/>
                <w:szCs w:val="18"/>
              </w:rPr>
              <w:t xml:space="preserve">$     239,530.83 </w:t>
            </w:r>
          </w:p>
        </w:tc>
      </w:tr>
      <w:tr w:rsidR="00C77A7C" w:rsidTr="00C77A7C">
        <w:trPr>
          <w:trHeight w:val="154"/>
        </w:trPr>
        <w:tc>
          <w:tcPr>
            <w:tcW w:w="4463" w:type="dxa"/>
            <w:shd w:val="clear" w:color="auto" w:fill="auto"/>
            <w:vAlign w:val="center"/>
            <w:hideMark/>
          </w:tcPr>
          <w:p w:rsidR="00C77A7C" w:rsidRDefault="00C77A7C" w:rsidP="00C77A7C">
            <w:pPr>
              <w:jc w:val="both"/>
              <w:rPr>
                <w:rFonts w:ascii="Calibri" w:hAnsi="Calibri"/>
                <w:color w:val="000000"/>
                <w:sz w:val="20"/>
                <w:szCs w:val="20"/>
              </w:rPr>
            </w:pPr>
            <w:r>
              <w:rPr>
                <w:rFonts w:ascii="Calibri" w:hAnsi="Calibri"/>
                <w:color w:val="000000"/>
                <w:sz w:val="20"/>
                <w:szCs w:val="20"/>
              </w:rPr>
              <w:t>Vehículos y Equipo de Transporte</w:t>
            </w:r>
          </w:p>
        </w:tc>
        <w:tc>
          <w:tcPr>
            <w:tcW w:w="1456" w:type="dxa"/>
            <w:shd w:val="clear" w:color="auto" w:fill="auto"/>
            <w:vAlign w:val="center"/>
            <w:hideMark/>
          </w:tcPr>
          <w:p w:rsidR="00C77A7C" w:rsidRDefault="00C77A7C" w:rsidP="00C77A7C">
            <w:pPr>
              <w:jc w:val="right"/>
              <w:rPr>
                <w:rFonts w:ascii="Calibri" w:hAnsi="Calibri"/>
                <w:color w:val="000000"/>
                <w:sz w:val="18"/>
                <w:szCs w:val="18"/>
              </w:rPr>
            </w:pPr>
            <w:r>
              <w:rPr>
                <w:rFonts w:ascii="Calibri" w:hAnsi="Calibri"/>
                <w:color w:val="000000"/>
                <w:sz w:val="18"/>
                <w:szCs w:val="18"/>
              </w:rPr>
              <w:t xml:space="preserve"> $  6,801,551.00 </w:t>
            </w:r>
          </w:p>
        </w:tc>
      </w:tr>
      <w:tr w:rsidR="00C77A7C" w:rsidTr="00C77A7C">
        <w:trPr>
          <w:trHeight w:val="103"/>
        </w:trPr>
        <w:tc>
          <w:tcPr>
            <w:tcW w:w="4463" w:type="dxa"/>
            <w:shd w:val="clear" w:color="auto" w:fill="auto"/>
            <w:vAlign w:val="center"/>
            <w:hideMark/>
          </w:tcPr>
          <w:p w:rsidR="00C77A7C" w:rsidRDefault="00C77A7C" w:rsidP="00C77A7C">
            <w:pPr>
              <w:jc w:val="both"/>
              <w:rPr>
                <w:rFonts w:ascii="Calibri" w:hAnsi="Calibri"/>
                <w:color w:val="000000"/>
                <w:sz w:val="20"/>
                <w:szCs w:val="20"/>
              </w:rPr>
            </w:pPr>
            <w:r>
              <w:rPr>
                <w:rFonts w:ascii="Calibri" w:hAnsi="Calibri"/>
                <w:color w:val="000000"/>
                <w:sz w:val="20"/>
                <w:szCs w:val="20"/>
              </w:rPr>
              <w:t>Equipo de Defensa y de Seguridad</w:t>
            </w:r>
          </w:p>
        </w:tc>
        <w:tc>
          <w:tcPr>
            <w:tcW w:w="1456" w:type="dxa"/>
            <w:shd w:val="clear" w:color="auto" w:fill="auto"/>
            <w:vAlign w:val="center"/>
            <w:hideMark/>
          </w:tcPr>
          <w:p w:rsidR="00C77A7C" w:rsidRDefault="00C77A7C" w:rsidP="00C77A7C">
            <w:pPr>
              <w:jc w:val="right"/>
              <w:rPr>
                <w:rFonts w:ascii="Calibri" w:hAnsi="Calibri"/>
                <w:color w:val="000000"/>
                <w:sz w:val="18"/>
                <w:szCs w:val="18"/>
              </w:rPr>
            </w:pPr>
            <w:r>
              <w:rPr>
                <w:rFonts w:ascii="Calibri" w:hAnsi="Calibri"/>
                <w:color w:val="000000"/>
                <w:sz w:val="18"/>
                <w:szCs w:val="18"/>
              </w:rPr>
              <w:t xml:space="preserve"> $       57,517.15 </w:t>
            </w:r>
          </w:p>
        </w:tc>
      </w:tr>
      <w:tr w:rsidR="00C77A7C" w:rsidTr="00C77A7C">
        <w:trPr>
          <w:trHeight w:val="192"/>
        </w:trPr>
        <w:tc>
          <w:tcPr>
            <w:tcW w:w="4463" w:type="dxa"/>
            <w:shd w:val="clear" w:color="auto" w:fill="auto"/>
            <w:vAlign w:val="center"/>
            <w:hideMark/>
          </w:tcPr>
          <w:p w:rsidR="00C77A7C" w:rsidRDefault="00C77A7C" w:rsidP="00C77A7C">
            <w:pPr>
              <w:jc w:val="both"/>
              <w:rPr>
                <w:rFonts w:ascii="Calibri" w:hAnsi="Calibri"/>
                <w:color w:val="000000"/>
                <w:sz w:val="20"/>
                <w:szCs w:val="20"/>
              </w:rPr>
            </w:pPr>
            <w:r>
              <w:rPr>
                <w:rFonts w:ascii="Calibri" w:hAnsi="Calibri"/>
                <w:color w:val="000000"/>
                <w:sz w:val="20"/>
                <w:szCs w:val="20"/>
              </w:rPr>
              <w:t>Maquinaria, Otros Equipos y Herramientas</w:t>
            </w:r>
          </w:p>
        </w:tc>
        <w:tc>
          <w:tcPr>
            <w:tcW w:w="1456" w:type="dxa"/>
            <w:shd w:val="clear" w:color="auto" w:fill="auto"/>
            <w:vAlign w:val="center"/>
            <w:hideMark/>
          </w:tcPr>
          <w:p w:rsidR="00C77A7C" w:rsidRDefault="00C77A7C" w:rsidP="00C77A7C">
            <w:pPr>
              <w:jc w:val="right"/>
              <w:rPr>
                <w:rFonts w:ascii="Calibri" w:hAnsi="Calibri"/>
                <w:color w:val="000000"/>
                <w:sz w:val="18"/>
                <w:szCs w:val="18"/>
              </w:rPr>
            </w:pPr>
            <w:r>
              <w:rPr>
                <w:rFonts w:ascii="Calibri" w:hAnsi="Calibri"/>
                <w:color w:val="000000"/>
                <w:sz w:val="18"/>
                <w:szCs w:val="18"/>
              </w:rPr>
              <w:t xml:space="preserve"> $     632,729.12 </w:t>
            </w:r>
          </w:p>
        </w:tc>
      </w:tr>
      <w:tr w:rsidR="00C77A7C" w:rsidTr="00C77A7C">
        <w:trPr>
          <w:trHeight w:val="94"/>
        </w:trPr>
        <w:tc>
          <w:tcPr>
            <w:tcW w:w="4463" w:type="dxa"/>
            <w:shd w:val="clear" w:color="auto" w:fill="auto"/>
            <w:vAlign w:val="center"/>
            <w:hideMark/>
          </w:tcPr>
          <w:p w:rsidR="00C77A7C" w:rsidRDefault="00C77A7C" w:rsidP="00C77A7C">
            <w:pPr>
              <w:jc w:val="both"/>
              <w:rPr>
                <w:rFonts w:ascii="Calibri" w:hAnsi="Calibri"/>
                <w:color w:val="000000"/>
                <w:sz w:val="20"/>
                <w:szCs w:val="20"/>
              </w:rPr>
            </w:pPr>
            <w:r>
              <w:rPr>
                <w:rFonts w:ascii="Calibri" w:hAnsi="Calibri"/>
                <w:color w:val="000000"/>
                <w:sz w:val="20"/>
                <w:szCs w:val="20"/>
              </w:rPr>
              <w:t>Equipo de Cómputo y Tecnologías de la Información</w:t>
            </w:r>
          </w:p>
        </w:tc>
        <w:tc>
          <w:tcPr>
            <w:tcW w:w="1456" w:type="dxa"/>
            <w:shd w:val="clear" w:color="auto" w:fill="auto"/>
            <w:vAlign w:val="center"/>
            <w:hideMark/>
          </w:tcPr>
          <w:p w:rsidR="00B81BA8" w:rsidRDefault="00C77A7C" w:rsidP="00B81BA8">
            <w:pPr>
              <w:rPr>
                <w:rFonts w:ascii="Calibri" w:hAnsi="Calibri"/>
                <w:color w:val="000000"/>
                <w:sz w:val="18"/>
                <w:szCs w:val="18"/>
              </w:rPr>
            </w:pPr>
            <w:r>
              <w:rPr>
                <w:rFonts w:ascii="Calibri" w:hAnsi="Calibri"/>
                <w:color w:val="000000"/>
                <w:sz w:val="18"/>
                <w:szCs w:val="18"/>
              </w:rPr>
              <w:t xml:space="preserve"> </w:t>
            </w:r>
          </w:p>
          <w:p w:rsidR="00C77A7C" w:rsidRDefault="00B81BA8" w:rsidP="00B81BA8">
            <w:pPr>
              <w:jc w:val="right"/>
              <w:rPr>
                <w:rFonts w:ascii="Calibri" w:hAnsi="Calibri"/>
                <w:color w:val="000000"/>
                <w:sz w:val="18"/>
                <w:szCs w:val="18"/>
              </w:rPr>
            </w:pPr>
            <w:r>
              <w:rPr>
                <w:rFonts w:ascii="Calibri" w:hAnsi="Calibri"/>
                <w:color w:val="000000"/>
                <w:sz w:val="18"/>
                <w:szCs w:val="18"/>
              </w:rPr>
              <w:t xml:space="preserve">$  4,870,724.81 </w:t>
            </w:r>
          </w:p>
        </w:tc>
      </w:tr>
      <w:tr w:rsidR="00C77A7C" w:rsidTr="00C77A7C">
        <w:trPr>
          <w:trHeight w:val="128"/>
        </w:trPr>
        <w:tc>
          <w:tcPr>
            <w:tcW w:w="4463" w:type="dxa"/>
            <w:shd w:val="clear" w:color="auto" w:fill="auto"/>
            <w:vAlign w:val="center"/>
            <w:hideMark/>
          </w:tcPr>
          <w:p w:rsidR="00C77A7C" w:rsidRDefault="00C77A7C" w:rsidP="00C77A7C">
            <w:pPr>
              <w:jc w:val="both"/>
              <w:rPr>
                <w:rFonts w:ascii="Calibri" w:hAnsi="Calibri"/>
                <w:color w:val="000000"/>
                <w:sz w:val="20"/>
                <w:szCs w:val="20"/>
              </w:rPr>
            </w:pPr>
            <w:r>
              <w:rPr>
                <w:rFonts w:ascii="Calibri" w:hAnsi="Calibri"/>
                <w:color w:val="000000"/>
                <w:sz w:val="20"/>
                <w:szCs w:val="20"/>
              </w:rPr>
              <w:t>Intangibles</w:t>
            </w:r>
          </w:p>
        </w:tc>
        <w:tc>
          <w:tcPr>
            <w:tcW w:w="1456" w:type="dxa"/>
            <w:shd w:val="clear" w:color="auto" w:fill="auto"/>
            <w:vAlign w:val="center"/>
            <w:hideMark/>
          </w:tcPr>
          <w:p w:rsidR="00C77A7C" w:rsidRDefault="00B81BA8" w:rsidP="00B81BA8">
            <w:pPr>
              <w:jc w:val="right"/>
              <w:rPr>
                <w:rFonts w:ascii="Calibri" w:hAnsi="Calibri"/>
                <w:color w:val="000000"/>
                <w:sz w:val="18"/>
                <w:szCs w:val="18"/>
              </w:rPr>
            </w:pPr>
            <w:r>
              <w:rPr>
                <w:rFonts w:ascii="Calibri" w:hAnsi="Calibri"/>
                <w:color w:val="000000"/>
                <w:sz w:val="18"/>
                <w:szCs w:val="18"/>
              </w:rPr>
              <w:t xml:space="preserve">$     254,807.35 </w:t>
            </w:r>
          </w:p>
        </w:tc>
      </w:tr>
      <w:tr w:rsidR="00C77A7C" w:rsidTr="00C77A7C">
        <w:trPr>
          <w:trHeight w:val="135"/>
        </w:trPr>
        <w:tc>
          <w:tcPr>
            <w:tcW w:w="4463" w:type="dxa"/>
            <w:shd w:val="clear" w:color="auto" w:fill="auto"/>
            <w:vAlign w:val="center"/>
            <w:hideMark/>
          </w:tcPr>
          <w:p w:rsidR="00C77A7C" w:rsidRDefault="00C77A7C" w:rsidP="00C77A7C">
            <w:pPr>
              <w:jc w:val="both"/>
              <w:rPr>
                <w:rFonts w:ascii="Calibri" w:hAnsi="Calibri"/>
                <w:b/>
                <w:bCs/>
                <w:color w:val="000000"/>
                <w:sz w:val="20"/>
                <w:szCs w:val="20"/>
              </w:rPr>
            </w:pPr>
            <w:r>
              <w:rPr>
                <w:rFonts w:ascii="Calibri" w:hAnsi="Calibri"/>
                <w:b/>
                <w:bCs/>
                <w:color w:val="000000"/>
                <w:sz w:val="20"/>
                <w:szCs w:val="20"/>
              </w:rPr>
              <w:t>Total</w:t>
            </w:r>
          </w:p>
        </w:tc>
        <w:tc>
          <w:tcPr>
            <w:tcW w:w="1456" w:type="dxa"/>
            <w:shd w:val="clear" w:color="auto" w:fill="auto"/>
            <w:vAlign w:val="center"/>
            <w:hideMark/>
          </w:tcPr>
          <w:p w:rsidR="00C77A7C" w:rsidRDefault="00B81BA8" w:rsidP="00B81BA8">
            <w:pPr>
              <w:jc w:val="right"/>
              <w:rPr>
                <w:rFonts w:ascii="Calibri" w:hAnsi="Calibri"/>
                <w:b/>
                <w:bCs/>
                <w:color w:val="000000"/>
                <w:sz w:val="18"/>
                <w:szCs w:val="18"/>
              </w:rPr>
            </w:pPr>
            <w:r>
              <w:rPr>
                <w:rFonts w:ascii="Calibri" w:hAnsi="Calibri"/>
                <w:b/>
                <w:bCs/>
                <w:color w:val="000000"/>
                <w:sz w:val="18"/>
                <w:szCs w:val="18"/>
              </w:rPr>
              <w:t xml:space="preserve">$15,548,723.95 </w:t>
            </w:r>
          </w:p>
        </w:tc>
      </w:tr>
    </w:tbl>
    <w:p w:rsidR="00D4567D" w:rsidRPr="00DF3CDB" w:rsidRDefault="00C77A7C" w:rsidP="00D4567D">
      <w:pPr>
        <w:tabs>
          <w:tab w:val="left" w:pos="4260"/>
        </w:tabs>
        <w:jc w:val="both"/>
        <w:rPr>
          <w:rFonts w:asciiTheme="minorHAnsi" w:hAnsiTheme="minorHAnsi"/>
          <w:sz w:val="20"/>
          <w:szCs w:val="20"/>
        </w:rPr>
      </w:pPr>
      <w:r>
        <w:rPr>
          <w:rFonts w:asciiTheme="minorHAnsi" w:hAnsiTheme="minorHAnsi"/>
          <w:sz w:val="20"/>
          <w:szCs w:val="20"/>
        </w:rPr>
        <w:br w:type="textWrapping" w:clear="all"/>
      </w:r>
    </w:p>
    <w:p w:rsidR="00A8245A" w:rsidRPr="00DF3CDB" w:rsidRDefault="00A8245A" w:rsidP="00DF3CDB">
      <w:pPr>
        <w:jc w:val="both"/>
        <w:rPr>
          <w:rFonts w:asciiTheme="minorHAnsi" w:hAnsiTheme="minorHAnsi"/>
          <w:sz w:val="20"/>
          <w:szCs w:val="20"/>
        </w:rPr>
      </w:pPr>
    </w:p>
    <w:p w:rsidR="00A8245A" w:rsidRPr="00DF3CDB" w:rsidRDefault="00A8245A" w:rsidP="00DF3CDB">
      <w:pPr>
        <w:pStyle w:val="Ttulo6"/>
        <w:jc w:val="both"/>
        <w:rPr>
          <w:rFonts w:asciiTheme="minorHAnsi" w:hAnsiTheme="minorHAnsi"/>
          <w:sz w:val="20"/>
          <w:szCs w:val="20"/>
        </w:rPr>
      </w:pPr>
      <w:r w:rsidRPr="00DF3CDB">
        <w:rPr>
          <w:rFonts w:asciiTheme="minorHAnsi" w:hAnsiTheme="minorHAnsi"/>
          <w:sz w:val="20"/>
          <w:szCs w:val="20"/>
        </w:rPr>
        <w:t>Nota  5      Depreciación Acumulada de  Bienes Muebles.</w:t>
      </w:r>
    </w:p>
    <w:p w:rsidR="00A8245A" w:rsidRPr="00153BA5" w:rsidRDefault="00A8245A" w:rsidP="00DF3CDB">
      <w:pPr>
        <w:jc w:val="both"/>
        <w:rPr>
          <w:rFonts w:asciiTheme="minorHAnsi" w:hAnsiTheme="minorHAnsi"/>
          <w:sz w:val="18"/>
          <w:szCs w:val="20"/>
          <w:u w:val="single"/>
        </w:rPr>
      </w:pPr>
    </w:p>
    <w:p w:rsidR="00065BF4" w:rsidRPr="00397142" w:rsidRDefault="00A8245A" w:rsidP="00397142">
      <w:pPr>
        <w:jc w:val="both"/>
        <w:rPr>
          <w:rFonts w:asciiTheme="minorHAnsi" w:hAnsiTheme="minorHAnsi"/>
          <w:sz w:val="20"/>
          <w:szCs w:val="20"/>
        </w:rPr>
      </w:pPr>
      <w:r w:rsidRPr="00DF3CDB">
        <w:rPr>
          <w:rFonts w:asciiTheme="minorHAnsi" w:hAnsiTheme="minorHAnsi"/>
          <w:sz w:val="20"/>
          <w:szCs w:val="20"/>
        </w:rPr>
        <w:t xml:space="preserve">Al </w:t>
      </w:r>
      <w:r w:rsidR="00C77A7C">
        <w:rPr>
          <w:rFonts w:asciiTheme="minorHAnsi" w:hAnsiTheme="minorHAnsi"/>
          <w:sz w:val="20"/>
          <w:szCs w:val="20"/>
        </w:rPr>
        <w:t xml:space="preserve">31 de </w:t>
      </w:r>
      <w:r w:rsidR="00900104">
        <w:rPr>
          <w:rFonts w:asciiTheme="minorHAnsi" w:hAnsiTheme="minorHAnsi"/>
          <w:sz w:val="20"/>
          <w:szCs w:val="20"/>
        </w:rPr>
        <w:t>Marzo</w:t>
      </w:r>
      <w:r w:rsidR="00396DD0">
        <w:rPr>
          <w:rFonts w:asciiTheme="minorHAnsi" w:hAnsiTheme="minorHAnsi"/>
          <w:sz w:val="20"/>
          <w:szCs w:val="20"/>
        </w:rPr>
        <w:t xml:space="preserve">  de 2018 </w:t>
      </w:r>
      <w:r w:rsidR="001D1B8C">
        <w:rPr>
          <w:rFonts w:asciiTheme="minorHAnsi" w:hAnsiTheme="minorHAnsi"/>
          <w:sz w:val="20"/>
          <w:szCs w:val="20"/>
        </w:rPr>
        <w:t xml:space="preserve">la depreciación acumulada </w:t>
      </w:r>
      <w:r w:rsidR="00E10E47">
        <w:rPr>
          <w:rFonts w:asciiTheme="minorHAnsi" w:hAnsiTheme="minorHAnsi"/>
          <w:sz w:val="20"/>
          <w:szCs w:val="20"/>
        </w:rPr>
        <w:t xml:space="preserve">se </w:t>
      </w:r>
      <w:r w:rsidR="000C4F3D">
        <w:rPr>
          <w:rFonts w:asciiTheme="minorHAnsi" w:hAnsiTheme="minorHAnsi"/>
          <w:sz w:val="20"/>
          <w:szCs w:val="20"/>
        </w:rPr>
        <w:t>integra</w:t>
      </w:r>
      <w:r w:rsidR="00D579B2">
        <w:rPr>
          <w:rFonts w:asciiTheme="minorHAnsi" w:hAnsiTheme="minorHAnsi"/>
          <w:sz w:val="20"/>
          <w:szCs w:val="20"/>
        </w:rPr>
        <w:t xml:space="preserve"> </w:t>
      </w:r>
      <w:r w:rsidRPr="00DF3CDB">
        <w:rPr>
          <w:rFonts w:asciiTheme="minorHAnsi" w:hAnsiTheme="minorHAnsi"/>
          <w:sz w:val="20"/>
          <w:szCs w:val="20"/>
        </w:rPr>
        <w:t>de la siguiente manera:</w:t>
      </w:r>
    </w:p>
    <w:p w:rsidR="00B379AC" w:rsidRDefault="00B379AC" w:rsidP="00397142">
      <w:pPr>
        <w:rPr>
          <w:rFonts w:asciiTheme="minorHAnsi" w:hAnsiTheme="minorHAnsi"/>
          <w:sz w:val="20"/>
          <w:szCs w:val="20"/>
        </w:rPr>
      </w:pPr>
    </w:p>
    <w:tbl>
      <w:tblPr>
        <w:tblW w:w="7821"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02"/>
        <w:gridCol w:w="1619"/>
      </w:tblGrid>
      <w:tr w:rsidR="00120DB9" w:rsidTr="00120DB9">
        <w:trPr>
          <w:trHeight w:val="315"/>
          <w:jc w:val="center"/>
        </w:trPr>
        <w:tc>
          <w:tcPr>
            <w:tcW w:w="6202" w:type="dxa"/>
            <w:shd w:val="clear" w:color="auto" w:fill="auto"/>
            <w:vAlign w:val="center"/>
            <w:hideMark/>
          </w:tcPr>
          <w:p w:rsidR="00120DB9" w:rsidRDefault="00120DB9">
            <w:pPr>
              <w:jc w:val="center"/>
              <w:rPr>
                <w:rFonts w:ascii="Calibri" w:hAnsi="Calibri"/>
                <w:b/>
                <w:bCs/>
                <w:color w:val="000000"/>
                <w:sz w:val="20"/>
                <w:szCs w:val="20"/>
              </w:rPr>
            </w:pPr>
            <w:r>
              <w:rPr>
                <w:rFonts w:ascii="Calibri" w:hAnsi="Calibri"/>
                <w:b/>
                <w:bCs/>
                <w:color w:val="000000"/>
                <w:sz w:val="20"/>
                <w:szCs w:val="20"/>
              </w:rPr>
              <w:t>Cuenta</w:t>
            </w:r>
          </w:p>
        </w:tc>
        <w:tc>
          <w:tcPr>
            <w:tcW w:w="1619" w:type="dxa"/>
            <w:shd w:val="clear" w:color="auto" w:fill="auto"/>
            <w:vAlign w:val="center"/>
            <w:hideMark/>
          </w:tcPr>
          <w:p w:rsidR="00120DB9" w:rsidRDefault="00120DB9">
            <w:pPr>
              <w:jc w:val="center"/>
              <w:rPr>
                <w:rFonts w:ascii="Calibri" w:hAnsi="Calibri"/>
                <w:b/>
                <w:bCs/>
                <w:color w:val="000000"/>
                <w:sz w:val="20"/>
                <w:szCs w:val="20"/>
              </w:rPr>
            </w:pPr>
            <w:r>
              <w:rPr>
                <w:rFonts w:ascii="Calibri" w:hAnsi="Calibri"/>
                <w:b/>
                <w:bCs/>
                <w:color w:val="000000"/>
                <w:sz w:val="20"/>
                <w:szCs w:val="20"/>
              </w:rPr>
              <w:t xml:space="preserve"> Total </w:t>
            </w:r>
          </w:p>
        </w:tc>
      </w:tr>
      <w:tr w:rsidR="00120DB9" w:rsidTr="00120DB9">
        <w:trPr>
          <w:trHeight w:val="274"/>
          <w:jc w:val="center"/>
        </w:trPr>
        <w:tc>
          <w:tcPr>
            <w:tcW w:w="6202" w:type="dxa"/>
            <w:shd w:val="clear" w:color="auto" w:fill="auto"/>
            <w:vAlign w:val="center"/>
            <w:hideMark/>
          </w:tcPr>
          <w:p w:rsidR="00120DB9" w:rsidRDefault="00120DB9">
            <w:pPr>
              <w:jc w:val="both"/>
              <w:rPr>
                <w:rFonts w:ascii="Calibri" w:hAnsi="Calibri"/>
                <w:color w:val="000000"/>
                <w:sz w:val="20"/>
                <w:szCs w:val="20"/>
              </w:rPr>
            </w:pPr>
            <w:r>
              <w:rPr>
                <w:rFonts w:ascii="Calibri" w:hAnsi="Calibri"/>
                <w:color w:val="000000"/>
                <w:sz w:val="20"/>
                <w:szCs w:val="20"/>
              </w:rPr>
              <w:t>Depreciación Acumulada de Mobiliario y Equipo de Administración</w:t>
            </w:r>
          </w:p>
        </w:tc>
        <w:tc>
          <w:tcPr>
            <w:tcW w:w="1619" w:type="dxa"/>
            <w:shd w:val="clear" w:color="auto" w:fill="auto"/>
            <w:vAlign w:val="center"/>
            <w:hideMark/>
          </w:tcPr>
          <w:p w:rsidR="00120DB9" w:rsidRDefault="00120DB9">
            <w:pPr>
              <w:jc w:val="right"/>
              <w:rPr>
                <w:rFonts w:ascii="Calibri" w:hAnsi="Calibri"/>
                <w:color w:val="000000"/>
                <w:sz w:val="18"/>
                <w:szCs w:val="18"/>
              </w:rPr>
            </w:pPr>
            <w:r>
              <w:rPr>
                <w:rFonts w:ascii="Calibri" w:hAnsi="Calibri"/>
                <w:color w:val="000000"/>
                <w:sz w:val="18"/>
                <w:szCs w:val="18"/>
              </w:rPr>
              <w:t xml:space="preserve"> $      1,319,845.61 </w:t>
            </w:r>
          </w:p>
        </w:tc>
      </w:tr>
      <w:tr w:rsidR="00120DB9" w:rsidTr="00120DB9">
        <w:trPr>
          <w:trHeight w:val="265"/>
          <w:jc w:val="center"/>
        </w:trPr>
        <w:tc>
          <w:tcPr>
            <w:tcW w:w="6202" w:type="dxa"/>
            <w:shd w:val="clear" w:color="auto" w:fill="auto"/>
            <w:vAlign w:val="center"/>
            <w:hideMark/>
          </w:tcPr>
          <w:p w:rsidR="00120DB9" w:rsidRDefault="00120DB9">
            <w:pPr>
              <w:jc w:val="both"/>
              <w:rPr>
                <w:rFonts w:ascii="Calibri" w:hAnsi="Calibri"/>
                <w:color w:val="000000"/>
                <w:sz w:val="20"/>
                <w:szCs w:val="20"/>
              </w:rPr>
            </w:pPr>
            <w:r>
              <w:rPr>
                <w:rFonts w:ascii="Calibri" w:hAnsi="Calibri"/>
                <w:color w:val="000000"/>
                <w:sz w:val="20"/>
                <w:szCs w:val="20"/>
              </w:rPr>
              <w:t>Depreciación Acumulada de Mobiliario y Equipo Educacional y Recreativo</w:t>
            </w:r>
          </w:p>
        </w:tc>
        <w:tc>
          <w:tcPr>
            <w:tcW w:w="1619" w:type="dxa"/>
            <w:shd w:val="clear" w:color="auto" w:fill="auto"/>
            <w:vAlign w:val="center"/>
            <w:hideMark/>
          </w:tcPr>
          <w:p w:rsidR="00120DB9" w:rsidRDefault="00120DB9">
            <w:pPr>
              <w:jc w:val="right"/>
              <w:rPr>
                <w:rFonts w:ascii="Calibri" w:hAnsi="Calibri"/>
                <w:color w:val="000000"/>
                <w:sz w:val="18"/>
                <w:szCs w:val="18"/>
              </w:rPr>
            </w:pPr>
            <w:r>
              <w:rPr>
                <w:rFonts w:ascii="Calibri" w:hAnsi="Calibri"/>
                <w:color w:val="000000"/>
                <w:sz w:val="18"/>
                <w:szCs w:val="18"/>
              </w:rPr>
              <w:t xml:space="preserve"> $         194,331.01 </w:t>
            </w:r>
          </w:p>
        </w:tc>
      </w:tr>
      <w:tr w:rsidR="00120DB9" w:rsidTr="00120DB9">
        <w:trPr>
          <w:trHeight w:val="315"/>
          <w:jc w:val="center"/>
        </w:trPr>
        <w:tc>
          <w:tcPr>
            <w:tcW w:w="6202" w:type="dxa"/>
            <w:shd w:val="clear" w:color="auto" w:fill="auto"/>
            <w:vAlign w:val="center"/>
            <w:hideMark/>
          </w:tcPr>
          <w:p w:rsidR="00120DB9" w:rsidRDefault="00120DB9">
            <w:pPr>
              <w:jc w:val="both"/>
              <w:rPr>
                <w:rFonts w:ascii="Calibri" w:hAnsi="Calibri"/>
                <w:color w:val="000000"/>
                <w:sz w:val="20"/>
                <w:szCs w:val="20"/>
              </w:rPr>
            </w:pPr>
            <w:r>
              <w:rPr>
                <w:rFonts w:ascii="Calibri" w:hAnsi="Calibri"/>
                <w:color w:val="000000"/>
                <w:sz w:val="20"/>
                <w:szCs w:val="20"/>
              </w:rPr>
              <w:t>Depreciación Acumulada de Equipo de Transporte</w:t>
            </w:r>
          </w:p>
        </w:tc>
        <w:tc>
          <w:tcPr>
            <w:tcW w:w="1619" w:type="dxa"/>
            <w:shd w:val="clear" w:color="auto" w:fill="auto"/>
            <w:vAlign w:val="center"/>
            <w:hideMark/>
          </w:tcPr>
          <w:p w:rsidR="00120DB9" w:rsidRDefault="00120DB9">
            <w:pPr>
              <w:jc w:val="right"/>
              <w:rPr>
                <w:rFonts w:ascii="Calibri" w:hAnsi="Calibri"/>
                <w:color w:val="000000"/>
                <w:sz w:val="18"/>
                <w:szCs w:val="18"/>
              </w:rPr>
            </w:pPr>
            <w:r>
              <w:rPr>
                <w:rFonts w:ascii="Calibri" w:hAnsi="Calibri"/>
                <w:color w:val="000000"/>
                <w:sz w:val="18"/>
                <w:szCs w:val="18"/>
              </w:rPr>
              <w:t xml:space="preserve"> $      5,148,656.43 </w:t>
            </w:r>
          </w:p>
        </w:tc>
      </w:tr>
      <w:tr w:rsidR="00120DB9" w:rsidTr="00120DB9">
        <w:trPr>
          <w:trHeight w:val="315"/>
          <w:jc w:val="center"/>
        </w:trPr>
        <w:tc>
          <w:tcPr>
            <w:tcW w:w="6202" w:type="dxa"/>
            <w:shd w:val="clear" w:color="auto" w:fill="auto"/>
            <w:vAlign w:val="center"/>
            <w:hideMark/>
          </w:tcPr>
          <w:p w:rsidR="00120DB9" w:rsidRDefault="00120DB9">
            <w:pPr>
              <w:jc w:val="both"/>
              <w:rPr>
                <w:rFonts w:ascii="Calibri" w:hAnsi="Calibri"/>
                <w:color w:val="000000"/>
                <w:sz w:val="20"/>
                <w:szCs w:val="20"/>
              </w:rPr>
            </w:pPr>
            <w:r>
              <w:rPr>
                <w:rFonts w:ascii="Calibri" w:hAnsi="Calibri"/>
                <w:color w:val="000000"/>
                <w:sz w:val="20"/>
                <w:szCs w:val="20"/>
              </w:rPr>
              <w:t>Depreciación Acumulada de Equipo de Defensa y de Seguridad</w:t>
            </w:r>
          </w:p>
        </w:tc>
        <w:tc>
          <w:tcPr>
            <w:tcW w:w="1619" w:type="dxa"/>
            <w:shd w:val="clear" w:color="auto" w:fill="auto"/>
            <w:vAlign w:val="center"/>
            <w:hideMark/>
          </w:tcPr>
          <w:p w:rsidR="00120DB9" w:rsidRDefault="00120DB9">
            <w:pPr>
              <w:jc w:val="right"/>
              <w:rPr>
                <w:rFonts w:ascii="Calibri" w:hAnsi="Calibri"/>
                <w:color w:val="000000"/>
                <w:sz w:val="18"/>
                <w:szCs w:val="18"/>
              </w:rPr>
            </w:pPr>
            <w:r>
              <w:rPr>
                <w:rFonts w:ascii="Calibri" w:hAnsi="Calibri"/>
                <w:color w:val="000000"/>
                <w:sz w:val="18"/>
                <w:szCs w:val="18"/>
              </w:rPr>
              <w:t xml:space="preserve"> $           45,771.81 </w:t>
            </w:r>
          </w:p>
        </w:tc>
      </w:tr>
      <w:tr w:rsidR="00120DB9" w:rsidTr="00120DB9">
        <w:trPr>
          <w:trHeight w:val="334"/>
          <w:jc w:val="center"/>
        </w:trPr>
        <w:tc>
          <w:tcPr>
            <w:tcW w:w="6202" w:type="dxa"/>
            <w:shd w:val="clear" w:color="auto" w:fill="auto"/>
            <w:vAlign w:val="center"/>
            <w:hideMark/>
          </w:tcPr>
          <w:p w:rsidR="00120DB9" w:rsidRDefault="00120DB9">
            <w:pPr>
              <w:jc w:val="both"/>
              <w:rPr>
                <w:rFonts w:ascii="Calibri" w:hAnsi="Calibri"/>
                <w:color w:val="000000"/>
                <w:sz w:val="20"/>
                <w:szCs w:val="20"/>
              </w:rPr>
            </w:pPr>
            <w:r>
              <w:rPr>
                <w:rFonts w:ascii="Calibri" w:hAnsi="Calibri"/>
                <w:color w:val="000000"/>
                <w:sz w:val="20"/>
                <w:szCs w:val="20"/>
              </w:rPr>
              <w:t>Depreciación Acumulada de Maquinaria, Otros Equipos y Herramientas</w:t>
            </w:r>
          </w:p>
        </w:tc>
        <w:tc>
          <w:tcPr>
            <w:tcW w:w="1619" w:type="dxa"/>
            <w:shd w:val="clear" w:color="auto" w:fill="auto"/>
            <w:vAlign w:val="center"/>
            <w:hideMark/>
          </w:tcPr>
          <w:p w:rsidR="00120DB9" w:rsidRDefault="00120DB9">
            <w:pPr>
              <w:jc w:val="right"/>
              <w:rPr>
                <w:rFonts w:ascii="Calibri" w:hAnsi="Calibri"/>
                <w:color w:val="000000"/>
                <w:sz w:val="18"/>
                <w:szCs w:val="18"/>
              </w:rPr>
            </w:pPr>
            <w:r>
              <w:rPr>
                <w:rFonts w:ascii="Calibri" w:hAnsi="Calibri"/>
                <w:color w:val="000000"/>
                <w:sz w:val="18"/>
                <w:szCs w:val="18"/>
              </w:rPr>
              <w:t xml:space="preserve"> $         310,320.50 </w:t>
            </w:r>
          </w:p>
        </w:tc>
      </w:tr>
      <w:tr w:rsidR="00120DB9" w:rsidTr="00120DB9">
        <w:trPr>
          <w:trHeight w:val="315"/>
          <w:jc w:val="center"/>
        </w:trPr>
        <w:tc>
          <w:tcPr>
            <w:tcW w:w="6202" w:type="dxa"/>
            <w:shd w:val="clear" w:color="auto" w:fill="auto"/>
            <w:vAlign w:val="center"/>
            <w:hideMark/>
          </w:tcPr>
          <w:p w:rsidR="00120DB9" w:rsidRDefault="00120DB9">
            <w:pPr>
              <w:jc w:val="both"/>
              <w:rPr>
                <w:rFonts w:ascii="Calibri" w:hAnsi="Calibri"/>
                <w:color w:val="000000"/>
                <w:sz w:val="20"/>
                <w:szCs w:val="20"/>
              </w:rPr>
            </w:pPr>
            <w:r>
              <w:rPr>
                <w:rFonts w:ascii="Calibri" w:hAnsi="Calibri"/>
                <w:color w:val="000000"/>
                <w:sz w:val="20"/>
                <w:szCs w:val="20"/>
              </w:rPr>
              <w:t>Depreciación Acumulada de Equipo de Computo</w:t>
            </w:r>
          </w:p>
        </w:tc>
        <w:tc>
          <w:tcPr>
            <w:tcW w:w="1619" w:type="dxa"/>
            <w:shd w:val="clear" w:color="auto" w:fill="auto"/>
            <w:vAlign w:val="center"/>
            <w:hideMark/>
          </w:tcPr>
          <w:p w:rsidR="00120DB9" w:rsidRDefault="00120DB9">
            <w:pPr>
              <w:jc w:val="right"/>
              <w:rPr>
                <w:rFonts w:ascii="Calibri" w:hAnsi="Calibri"/>
                <w:color w:val="000000"/>
                <w:sz w:val="18"/>
                <w:szCs w:val="18"/>
              </w:rPr>
            </w:pPr>
            <w:r>
              <w:rPr>
                <w:rFonts w:ascii="Calibri" w:hAnsi="Calibri"/>
                <w:color w:val="000000"/>
                <w:sz w:val="18"/>
                <w:szCs w:val="18"/>
              </w:rPr>
              <w:t xml:space="preserve"> $      3,490,894.37 </w:t>
            </w:r>
          </w:p>
        </w:tc>
      </w:tr>
      <w:tr w:rsidR="00120DB9" w:rsidTr="00120DB9">
        <w:trPr>
          <w:trHeight w:val="315"/>
          <w:jc w:val="center"/>
        </w:trPr>
        <w:tc>
          <w:tcPr>
            <w:tcW w:w="6202" w:type="dxa"/>
            <w:shd w:val="clear" w:color="auto" w:fill="auto"/>
            <w:vAlign w:val="center"/>
            <w:hideMark/>
          </w:tcPr>
          <w:p w:rsidR="00120DB9" w:rsidRDefault="00120DB9">
            <w:pPr>
              <w:jc w:val="both"/>
              <w:rPr>
                <w:rFonts w:ascii="Calibri" w:hAnsi="Calibri"/>
                <w:color w:val="000000"/>
                <w:sz w:val="20"/>
                <w:szCs w:val="20"/>
              </w:rPr>
            </w:pPr>
            <w:r>
              <w:rPr>
                <w:rFonts w:ascii="Calibri" w:hAnsi="Calibri"/>
                <w:color w:val="000000"/>
                <w:sz w:val="20"/>
                <w:szCs w:val="20"/>
              </w:rPr>
              <w:t>Amortización Acumulada de Activos Intangibles</w:t>
            </w:r>
          </w:p>
        </w:tc>
        <w:tc>
          <w:tcPr>
            <w:tcW w:w="1619" w:type="dxa"/>
            <w:shd w:val="clear" w:color="auto" w:fill="auto"/>
            <w:vAlign w:val="center"/>
            <w:hideMark/>
          </w:tcPr>
          <w:p w:rsidR="00120DB9" w:rsidRDefault="00120DB9">
            <w:pPr>
              <w:jc w:val="right"/>
              <w:rPr>
                <w:rFonts w:ascii="Calibri" w:hAnsi="Calibri"/>
                <w:color w:val="000000"/>
                <w:sz w:val="18"/>
                <w:szCs w:val="18"/>
              </w:rPr>
            </w:pPr>
            <w:r>
              <w:rPr>
                <w:rFonts w:ascii="Calibri" w:hAnsi="Calibri"/>
                <w:color w:val="000000"/>
                <w:sz w:val="18"/>
                <w:szCs w:val="18"/>
              </w:rPr>
              <w:t xml:space="preserve"> $         108,939.32 </w:t>
            </w:r>
          </w:p>
        </w:tc>
      </w:tr>
      <w:tr w:rsidR="00120DB9" w:rsidTr="00120DB9">
        <w:trPr>
          <w:trHeight w:val="315"/>
          <w:jc w:val="center"/>
        </w:trPr>
        <w:tc>
          <w:tcPr>
            <w:tcW w:w="6202" w:type="dxa"/>
            <w:shd w:val="clear" w:color="auto" w:fill="auto"/>
            <w:vAlign w:val="center"/>
            <w:hideMark/>
          </w:tcPr>
          <w:p w:rsidR="00120DB9" w:rsidRDefault="00120DB9">
            <w:pPr>
              <w:jc w:val="both"/>
              <w:rPr>
                <w:rFonts w:ascii="Calibri" w:hAnsi="Calibri"/>
                <w:b/>
                <w:bCs/>
                <w:color w:val="000000"/>
                <w:sz w:val="20"/>
                <w:szCs w:val="20"/>
              </w:rPr>
            </w:pPr>
            <w:r>
              <w:rPr>
                <w:rFonts w:ascii="Calibri" w:hAnsi="Calibri"/>
                <w:b/>
                <w:bCs/>
                <w:color w:val="000000"/>
                <w:sz w:val="20"/>
                <w:szCs w:val="20"/>
              </w:rPr>
              <w:t>Total</w:t>
            </w:r>
          </w:p>
        </w:tc>
        <w:tc>
          <w:tcPr>
            <w:tcW w:w="1619" w:type="dxa"/>
            <w:shd w:val="clear" w:color="auto" w:fill="auto"/>
            <w:vAlign w:val="center"/>
            <w:hideMark/>
          </w:tcPr>
          <w:p w:rsidR="00120DB9" w:rsidRDefault="00120DB9">
            <w:pPr>
              <w:jc w:val="right"/>
              <w:rPr>
                <w:rFonts w:ascii="Calibri" w:hAnsi="Calibri"/>
                <w:b/>
                <w:bCs/>
                <w:color w:val="000000"/>
                <w:sz w:val="18"/>
                <w:szCs w:val="18"/>
              </w:rPr>
            </w:pPr>
            <w:r>
              <w:rPr>
                <w:rFonts w:ascii="Calibri" w:hAnsi="Calibri"/>
                <w:b/>
                <w:bCs/>
                <w:color w:val="000000"/>
                <w:sz w:val="18"/>
                <w:szCs w:val="18"/>
              </w:rPr>
              <w:t xml:space="preserve"> $    10,618,759.05 </w:t>
            </w:r>
          </w:p>
        </w:tc>
      </w:tr>
    </w:tbl>
    <w:p w:rsidR="003E46D8" w:rsidRPr="00DF3CDB" w:rsidRDefault="00D579B2" w:rsidP="00DF3CDB">
      <w:pPr>
        <w:jc w:val="both"/>
        <w:rPr>
          <w:rFonts w:asciiTheme="minorHAnsi" w:hAnsiTheme="minorHAnsi"/>
          <w:sz w:val="20"/>
          <w:szCs w:val="20"/>
        </w:rPr>
      </w:pPr>
      <w:r>
        <w:rPr>
          <w:rFonts w:asciiTheme="minorHAnsi" w:hAnsiTheme="minorHAnsi"/>
          <w:sz w:val="20"/>
          <w:szCs w:val="20"/>
        </w:rPr>
        <w:lastRenderedPageBreak/>
        <w:br w:type="textWrapping" w:clear="all"/>
      </w:r>
    </w:p>
    <w:p w:rsidR="00E7026F" w:rsidRPr="00DF3CDB" w:rsidRDefault="00FC71DD" w:rsidP="00065BF4">
      <w:pPr>
        <w:pStyle w:val="Ttulo6"/>
        <w:jc w:val="both"/>
        <w:rPr>
          <w:rFonts w:asciiTheme="minorHAnsi" w:hAnsiTheme="minorHAnsi"/>
          <w:sz w:val="20"/>
          <w:szCs w:val="20"/>
        </w:rPr>
      </w:pPr>
      <w:r w:rsidRPr="00DF3CDB">
        <w:rPr>
          <w:rFonts w:asciiTheme="minorHAnsi" w:hAnsiTheme="minorHAnsi"/>
          <w:sz w:val="20"/>
          <w:szCs w:val="20"/>
        </w:rPr>
        <w:t xml:space="preserve">Nota  </w:t>
      </w:r>
      <w:r w:rsidR="00734FE3">
        <w:rPr>
          <w:rFonts w:asciiTheme="minorHAnsi" w:hAnsiTheme="minorHAnsi"/>
          <w:sz w:val="20"/>
          <w:szCs w:val="20"/>
        </w:rPr>
        <w:t>6</w:t>
      </w:r>
      <w:r w:rsidR="0031346E">
        <w:rPr>
          <w:rFonts w:asciiTheme="minorHAnsi" w:hAnsiTheme="minorHAnsi"/>
          <w:sz w:val="20"/>
          <w:szCs w:val="20"/>
        </w:rPr>
        <w:t xml:space="preserve">  </w:t>
      </w:r>
      <w:r w:rsidR="003E46D8" w:rsidRPr="00DF3CDB">
        <w:rPr>
          <w:rFonts w:asciiTheme="minorHAnsi" w:hAnsiTheme="minorHAnsi"/>
          <w:sz w:val="20"/>
          <w:szCs w:val="20"/>
        </w:rPr>
        <w:t>Cuentas por pagar a Corto Plazo</w:t>
      </w:r>
      <w:r w:rsidR="00B24A83" w:rsidRPr="00DF3CDB">
        <w:rPr>
          <w:rFonts w:asciiTheme="minorHAnsi" w:hAnsiTheme="minorHAnsi"/>
          <w:sz w:val="20"/>
          <w:szCs w:val="20"/>
        </w:rPr>
        <w:t xml:space="preserve">.     </w:t>
      </w:r>
    </w:p>
    <w:p w:rsidR="00E7026F" w:rsidRDefault="00E7026F" w:rsidP="00DF3CDB">
      <w:pPr>
        <w:jc w:val="both"/>
        <w:rPr>
          <w:rFonts w:asciiTheme="minorHAnsi" w:hAnsiTheme="minorHAnsi"/>
          <w:b/>
          <w:sz w:val="20"/>
          <w:szCs w:val="20"/>
        </w:rPr>
      </w:pPr>
    </w:p>
    <w:p w:rsidR="006D5E2D" w:rsidRPr="00DF3CDB" w:rsidRDefault="006D5E2D" w:rsidP="006D5E2D">
      <w:pPr>
        <w:pStyle w:val="Sangradetextonormal"/>
        <w:jc w:val="both"/>
        <w:rPr>
          <w:rFonts w:asciiTheme="minorHAnsi" w:hAnsiTheme="minorHAnsi"/>
          <w:sz w:val="20"/>
          <w:szCs w:val="20"/>
        </w:rPr>
      </w:pPr>
      <w:r w:rsidRPr="00DF3CDB">
        <w:rPr>
          <w:rFonts w:asciiTheme="minorHAnsi" w:hAnsiTheme="minorHAnsi"/>
          <w:sz w:val="20"/>
          <w:szCs w:val="20"/>
        </w:rPr>
        <w:t xml:space="preserve">Al  </w:t>
      </w:r>
      <w:r w:rsidR="00E56EC6">
        <w:rPr>
          <w:rFonts w:asciiTheme="minorHAnsi" w:hAnsiTheme="minorHAnsi"/>
          <w:sz w:val="20"/>
          <w:szCs w:val="20"/>
        </w:rPr>
        <w:t>3</w:t>
      </w:r>
      <w:r w:rsidR="00C77A7C">
        <w:rPr>
          <w:rFonts w:asciiTheme="minorHAnsi" w:hAnsiTheme="minorHAnsi"/>
          <w:sz w:val="20"/>
          <w:szCs w:val="20"/>
        </w:rPr>
        <w:t>1</w:t>
      </w:r>
      <w:r w:rsidR="00EF095D" w:rsidRPr="00A76FFB">
        <w:rPr>
          <w:rFonts w:asciiTheme="minorHAnsi" w:hAnsiTheme="minorHAnsi"/>
          <w:sz w:val="20"/>
          <w:szCs w:val="20"/>
        </w:rPr>
        <w:t xml:space="preserve"> de </w:t>
      </w:r>
      <w:r w:rsidR="00900104">
        <w:rPr>
          <w:rFonts w:asciiTheme="minorHAnsi" w:hAnsiTheme="minorHAnsi"/>
          <w:sz w:val="20"/>
          <w:szCs w:val="20"/>
        </w:rPr>
        <w:t>Marz</w:t>
      </w:r>
      <w:r w:rsidR="00396DD0">
        <w:rPr>
          <w:rFonts w:asciiTheme="minorHAnsi" w:hAnsiTheme="minorHAnsi"/>
          <w:sz w:val="20"/>
          <w:szCs w:val="20"/>
        </w:rPr>
        <w:t xml:space="preserve">o  de 2018 </w:t>
      </w:r>
      <w:r w:rsidRPr="00DF3CDB">
        <w:rPr>
          <w:rFonts w:asciiTheme="minorHAnsi" w:hAnsiTheme="minorHAnsi"/>
          <w:sz w:val="20"/>
          <w:szCs w:val="20"/>
        </w:rPr>
        <w:t xml:space="preserve">esta cuenta se integra de la siguiente manera: </w:t>
      </w:r>
    </w:p>
    <w:p w:rsidR="006D5E2D" w:rsidRPr="00DF3CDB" w:rsidRDefault="006D5E2D" w:rsidP="00DF3CDB">
      <w:pPr>
        <w:jc w:val="both"/>
        <w:rPr>
          <w:rFonts w:asciiTheme="minorHAnsi" w:hAnsiTheme="minorHAnsi"/>
          <w:b/>
          <w:sz w:val="20"/>
          <w:szCs w:val="20"/>
        </w:rPr>
      </w:pPr>
    </w:p>
    <w:tbl>
      <w:tblPr>
        <w:tblStyle w:val="Tablaconcuadrcula"/>
        <w:tblW w:w="5735" w:type="dxa"/>
        <w:jc w:val="center"/>
        <w:tblLook w:val="04A0" w:firstRow="1" w:lastRow="0" w:firstColumn="1" w:lastColumn="0" w:noHBand="0" w:noVBand="1"/>
      </w:tblPr>
      <w:tblGrid>
        <w:gridCol w:w="3936"/>
        <w:gridCol w:w="1799"/>
      </w:tblGrid>
      <w:tr w:rsidR="00502B56" w:rsidRPr="00DF3CDB" w:rsidTr="00761CB8">
        <w:trPr>
          <w:trHeight w:val="224"/>
          <w:jc w:val="center"/>
        </w:trPr>
        <w:tc>
          <w:tcPr>
            <w:tcW w:w="3936" w:type="dxa"/>
            <w:vAlign w:val="bottom"/>
          </w:tcPr>
          <w:p w:rsidR="00502B56" w:rsidRPr="00DF3CDB" w:rsidRDefault="00502B56" w:rsidP="00761CB8">
            <w:pPr>
              <w:jc w:val="center"/>
              <w:rPr>
                <w:rFonts w:asciiTheme="minorHAnsi" w:hAnsiTheme="minorHAnsi" w:cs="Calibri"/>
                <w:b/>
                <w:color w:val="000000"/>
                <w:sz w:val="20"/>
                <w:szCs w:val="20"/>
              </w:rPr>
            </w:pPr>
            <w:r w:rsidRPr="00DF3CDB">
              <w:rPr>
                <w:rFonts w:asciiTheme="minorHAnsi" w:hAnsiTheme="minorHAnsi" w:cs="Calibri"/>
                <w:b/>
                <w:color w:val="000000"/>
                <w:sz w:val="20"/>
                <w:szCs w:val="20"/>
              </w:rPr>
              <w:t>Cuenta</w:t>
            </w:r>
          </w:p>
        </w:tc>
        <w:tc>
          <w:tcPr>
            <w:tcW w:w="1799" w:type="dxa"/>
            <w:vAlign w:val="bottom"/>
          </w:tcPr>
          <w:p w:rsidR="00502B56" w:rsidRPr="00DF3CDB" w:rsidRDefault="00502B56" w:rsidP="00761CB8">
            <w:pPr>
              <w:jc w:val="center"/>
              <w:rPr>
                <w:rFonts w:asciiTheme="minorHAnsi" w:hAnsiTheme="minorHAnsi" w:cs="Calibri"/>
                <w:b/>
                <w:color w:val="000000"/>
                <w:sz w:val="20"/>
                <w:szCs w:val="20"/>
              </w:rPr>
            </w:pPr>
            <w:r w:rsidRPr="00DF3CDB">
              <w:rPr>
                <w:rFonts w:asciiTheme="minorHAnsi" w:hAnsiTheme="minorHAnsi" w:cs="Calibri"/>
                <w:b/>
                <w:color w:val="000000"/>
                <w:sz w:val="20"/>
                <w:szCs w:val="20"/>
              </w:rPr>
              <w:t>Importe</w:t>
            </w:r>
          </w:p>
        </w:tc>
      </w:tr>
      <w:tr w:rsidR="007F59AC" w:rsidRPr="00DF3CDB" w:rsidTr="00B263EA">
        <w:trPr>
          <w:jc w:val="center"/>
        </w:trPr>
        <w:tc>
          <w:tcPr>
            <w:tcW w:w="3936" w:type="dxa"/>
            <w:vAlign w:val="bottom"/>
          </w:tcPr>
          <w:p w:rsidR="007F59AC" w:rsidRPr="00DF3CDB" w:rsidRDefault="007F59AC" w:rsidP="00DF3CDB">
            <w:pPr>
              <w:jc w:val="both"/>
              <w:rPr>
                <w:rFonts w:asciiTheme="minorHAnsi" w:hAnsiTheme="minorHAnsi" w:cs="Calibri"/>
                <w:color w:val="000000"/>
                <w:sz w:val="20"/>
                <w:szCs w:val="20"/>
              </w:rPr>
            </w:pPr>
            <w:r w:rsidRPr="00DF3CDB">
              <w:rPr>
                <w:rFonts w:asciiTheme="minorHAnsi" w:hAnsiTheme="minorHAnsi" w:cs="Calibri"/>
                <w:color w:val="000000"/>
                <w:sz w:val="20"/>
                <w:szCs w:val="20"/>
              </w:rPr>
              <w:t>Proveedores</w:t>
            </w:r>
          </w:p>
        </w:tc>
        <w:tc>
          <w:tcPr>
            <w:tcW w:w="1799" w:type="dxa"/>
            <w:vAlign w:val="bottom"/>
          </w:tcPr>
          <w:p w:rsidR="007F59AC" w:rsidRDefault="00A778FE" w:rsidP="00B81BA8">
            <w:pPr>
              <w:jc w:val="right"/>
              <w:rPr>
                <w:rFonts w:ascii="Calibri" w:hAnsi="Calibri" w:cs="Calibri"/>
                <w:color w:val="000000"/>
                <w:sz w:val="18"/>
                <w:szCs w:val="18"/>
              </w:rPr>
            </w:pPr>
            <w:r w:rsidRPr="00A778FE">
              <w:rPr>
                <w:rFonts w:ascii="Calibri" w:hAnsi="Calibri" w:cs="Calibri"/>
                <w:color w:val="000000"/>
                <w:sz w:val="18"/>
                <w:szCs w:val="18"/>
              </w:rPr>
              <w:t>$</w:t>
            </w:r>
            <w:r w:rsidR="00B81BA8">
              <w:rPr>
                <w:rFonts w:ascii="Calibri" w:hAnsi="Calibri" w:cs="Calibri"/>
                <w:color w:val="000000"/>
                <w:sz w:val="18"/>
                <w:szCs w:val="18"/>
              </w:rPr>
              <w:t>74,500.00</w:t>
            </w:r>
          </w:p>
        </w:tc>
      </w:tr>
      <w:tr w:rsidR="007F59AC" w:rsidRPr="00DF3CDB" w:rsidTr="00B263EA">
        <w:trPr>
          <w:jc w:val="center"/>
        </w:trPr>
        <w:tc>
          <w:tcPr>
            <w:tcW w:w="3936" w:type="dxa"/>
            <w:vAlign w:val="bottom"/>
          </w:tcPr>
          <w:p w:rsidR="007F59AC" w:rsidRPr="00DF3CDB" w:rsidRDefault="007F59AC" w:rsidP="00DF3CDB">
            <w:pPr>
              <w:jc w:val="both"/>
              <w:rPr>
                <w:rFonts w:asciiTheme="minorHAnsi" w:hAnsiTheme="minorHAnsi" w:cs="Calibri"/>
                <w:color w:val="000000"/>
                <w:sz w:val="20"/>
                <w:szCs w:val="20"/>
              </w:rPr>
            </w:pPr>
            <w:r w:rsidRPr="00DF3CDB">
              <w:rPr>
                <w:rFonts w:asciiTheme="minorHAnsi" w:hAnsiTheme="minorHAnsi" w:cs="Calibri"/>
                <w:color w:val="000000"/>
                <w:sz w:val="20"/>
                <w:szCs w:val="20"/>
              </w:rPr>
              <w:t>Retenciones de ISR por Sueldos y Salarios</w:t>
            </w:r>
          </w:p>
        </w:tc>
        <w:tc>
          <w:tcPr>
            <w:tcW w:w="1799" w:type="dxa"/>
            <w:vAlign w:val="bottom"/>
          </w:tcPr>
          <w:p w:rsidR="007F59AC" w:rsidRDefault="00A778FE" w:rsidP="00B81BA8">
            <w:pPr>
              <w:jc w:val="right"/>
              <w:rPr>
                <w:rFonts w:ascii="Calibri" w:hAnsi="Calibri" w:cs="Calibri"/>
                <w:color w:val="000000"/>
                <w:sz w:val="18"/>
                <w:szCs w:val="18"/>
              </w:rPr>
            </w:pPr>
            <w:r w:rsidRPr="00A778FE">
              <w:rPr>
                <w:rFonts w:ascii="Calibri" w:hAnsi="Calibri" w:cs="Calibri"/>
                <w:color w:val="000000"/>
                <w:sz w:val="18"/>
                <w:szCs w:val="18"/>
              </w:rPr>
              <w:t>$</w:t>
            </w:r>
            <w:r w:rsidR="00B81BA8">
              <w:rPr>
                <w:rFonts w:ascii="Calibri" w:hAnsi="Calibri" w:cs="Calibri"/>
                <w:color w:val="000000"/>
                <w:sz w:val="18"/>
                <w:szCs w:val="18"/>
              </w:rPr>
              <w:t>292,949.13</w:t>
            </w:r>
          </w:p>
        </w:tc>
      </w:tr>
      <w:tr w:rsidR="007F59AC" w:rsidRPr="00DF3CDB" w:rsidTr="00B263EA">
        <w:trPr>
          <w:jc w:val="center"/>
        </w:trPr>
        <w:tc>
          <w:tcPr>
            <w:tcW w:w="3936" w:type="dxa"/>
            <w:vAlign w:val="bottom"/>
          </w:tcPr>
          <w:p w:rsidR="007F59AC" w:rsidRPr="00DF3CDB" w:rsidRDefault="007F59AC" w:rsidP="002F20C7">
            <w:pPr>
              <w:jc w:val="both"/>
              <w:rPr>
                <w:rFonts w:asciiTheme="minorHAnsi" w:hAnsiTheme="minorHAnsi" w:cs="Calibri"/>
                <w:color w:val="000000"/>
                <w:sz w:val="20"/>
                <w:szCs w:val="20"/>
              </w:rPr>
            </w:pPr>
            <w:r w:rsidRPr="00DF3CDB">
              <w:rPr>
                <w:rFonts w:asciiTheme="minorHAnsi" w:hAnsiTheme="minorHAnsi" w:cs="Calibri"/>
                <w:color w:val="000000"/>
                <w:sz w:val="20"/>
                <w:szCs w:val="20"/>
              </w:rPr>
              <w:t xml:space="preserve">Retenciones de ISR por </w:t>
            </w:r>
            <w:r>
              <w:rPr>
                <w:rFonts w:asciiTheme="minorHAnsi" w:hAnsiTheme="minorHAnsi" w:cs="Calibri"/>
                <w:color w:val="000000"/>
                <w:sz w:val="20"/>
                <w:szCs w:val="20"/>
              </w:rPr>
              <w:t>Asimilables a Salarios</w:t>
            </w:r>
          </w:p>
        </w:tc>
        <w:tc>
          <w:tcPr>
            <w:tcW w:w="1799" w:type="dxa"/>
            <w:vAlign w:val="bottom"/>
          </w:tcPr>
          <w:p w:rsidR="007F59AC" w:rsidRDefault="00A778FE" w:rsidP="00B81BA8">
            <w:pPr>
              <w:jc w:val="right"/>
              <w:rPr>
                <w:rFonts w:ascii="Calibri" w:hAnsi="Calibri" w:cs="Calibri"/>
                <w:color w:val="000000"/>
                <w:sz w:val="18"/>
                <w:szCs w:val="18"/>
              </w:rPr>
            </w:pPr>
            <w:r w:rsidRPr="00A778FE">
              <w:rPr>
                <w:rFonts w:ascii="Calibri" w:hAnsi="Calibri" w:cs="Calibri"/>
                <w:color w:val="000000"/>
                <w:sz w:val="18"/>
                <w:szCs w:val="18"/>
              </w:rPr>
              <w:t>$</w:t>
            </w:r>
            <w:r w:rsidR="00B81BA8">
              <w:rPr>
                <w:rFonts w:ascii="Calibri" w:hAnsi="Calibri" w:cs="Calibri"/>
                <w:color w:val="000000"/>
                <w:sz w:val="18"/>
                <w:szCs w:val="18"/>
              </w:rPr>
              <w:t>13,978.34</w:t>
            </w:r>
          </w:p>
        </w:tc>
      </w:tr>
      <w:tr w:rsidR="007F59AC" w:rsidRPr="00DF3CDB" w:rsidTr="00B263EA">
        <w:trPr>
          <w:jc w:val="center"/>
        </w:trPr>
        <w:tc>
          <w:tcPr>
            <w:tcW w:w="3936" w:type="dxa"/>
            <w:vAlign w:val="bottom"/>
          </w:tcPr>
          <w:p w:rsidR="007F59AC" w:rsidRPr="00DF3CDB" w:rsidRDefault="007F59AC" w:rsidP="00DF3CDB">
            <w:pPr>
              <w:jc w:val="both"/>
              <w:rPr>
                <w:rFonts w:asciiTheme="minorHAnsi" w:hAnsiTheme="minorHAnsi" w:cs="Calibri"/>
                <w:color w:val="000000"/>
                <w:sz w:val="20"/>
                <w:szCs w:val="20"/>
              </w:rPr>
            </w:pPr>
            <w:r w:rsidRPr="00DF3CDB">
              <w:rPr>
                <w:rFonts w:asciiTheme="minorHAnsi" w:hAnsiTheme="minorHAnsi" w:cs="Calibri"/>
                <w:color w:val="000000"/>
                <w:sz w:val="20"/>
                <w:szCs w:val="20"/>
              </w:rPr>
              <w:t>Retenciones de ISR por Honorarios</w:t>
            </w:r>
          </w:p>
        </w:tc>
        <w:tc>
          <w:tcPr>
            <w:tcW w:w="1799" w:type="dxa"/>
            <w:vAlign w:val="bottom"/>
          </w:tcPr>
          <w:p w:rsidR="007F59AC" w:rsidRDefault="00A778FE" w:rsidP="00B81BA8">
            <w:pPr>
              <w:jc w:val="right"/>
              <w:rPr>
                <w:rFonts w:ascii="Calibri" w:hAnsi="Calibri" w:cs="Calibri"/>
                <w:color w:val="000000"/>
                <w:sz w:val="18"/>
                <w:szCs w:val="18"/>
              </w:rPr>
            </w:pPr>
            <w:r w:rsidRPr="00A778FE">
              <w:rPr>
                <w:rFonts w:ascii="Calibri" w:hAnsi="Calibri" w:cs="Calibri"/>
                <w:color w:val="000000"/>
                <w:sz w:val="18"/>
                <w:szCs w:val="18"/>
              </w:rPr>
              <w:t>$</w:t>
            </w:r>
            <w:r w:rsidR="00B81BA8">
              <w:rPr>
                <w:rFonts w:ascii="Calibri" w:hAnsi="Calibri" w:cs="Calibri"/>
                <w:color w:val="000000"/>
                <w:sz w:val="18"/>
                <w:szCs w:val="18"/>
              </w:rPr>
              <w:t>309,427.12</w:t>
            </w:r>
          </w:p>
        </w:tc>
      </w:tr>
      <w:tr w:rsidR="007F59AC" w:rsidRPr="00DF3CDB" w:rsidTr="00B263EA">
        <w:trPr>
          <w:jc w:val="center"/>
        </w:trPr>
        <w:tc>
          <w:tcPr>
            <w:tcW w:w="3936" w:type="dxa"/>
            <w:vAlign w:val="bottom"/>
          </w:tcPr>
          <w:p w:rsidR="007F59AC" w:rsidRPr="00DF3CDB" w:rsidRDefault="007F59AC" w:rsidP="00DF3CDB">
            <w:pPr>
              <w:jc w:val="both"/>
              <w:rPr>
                <w:rFonts w:asciiTheme="minorHAnsi" w:hAnsiTheme="minorHAnsi" w:cs="Calibri"/>
                <w:color w:val="000000"/>
                <w:sz w:val="20"/>
                <w:szCs w:val="20"/>
              </w:rPr>
            </w:pPr>
            <w:r w:rsidRPr="00DF3CDB">
              <w:rPr>
                <w:rFonts w:asciiTheme="minorHAnsi" w:hAnsiTheme="minorHAnsi" w:cs="Calibri"/>
                <w:color w:val="000000"/>
                <w:sz w:val="20"/>
                <w:szCs w:val="20"/>
              </w:rPr>
              <w:t>Retenciones de ISR Arrendamiento</w:t>
            </w:r>
          </w:p>
        </w:tc>
        <w:tc>
          <w:tcPr>
            <w:tcW w:w="1799" w:type="dxa"/>
            <w:vAlign w:val="bottom"/>
          </w:tcPr>
          <w:p w:rsidR="007F59AC" w:rsidRDefault="00A778FE" w:rsidP="00046612">
            <w:pPr>
              <w:jc w:val="right"/>
              <w:rPr>
                <w:rFonts w:ascii="Calibri" w:hAnsi="Calibri" w:cs="Calibri"/>
                <w:color w:val="000000"/>
                <w:sz w:val="18"/>
                <w:szCs w:val="18"/>
              </w:rPr>
            </w:pPr>
            <w:r w:rsidRPr="00A778FE">
              <w:rPr>
                <w:rFonts w:ascii="Calibri" w:hAnsi="Calibri" w:cs="Calibri"/>
                <w:color w:val="000000"/>
                <w:sz w:val="18"/>
                <w:szCs w:val="18"/>
              </w:rPr>
              <w:t>$</w:t>
            </w:r>
            <w:r w:rsidR="00AA0933">
              <w:rPr>
                <w:rFonts w:ascii="Calibri" w:hAnsi="Calibri" w:cs="Calibri"/>
                <w:color w:val="000000"/>
                <w:sz w:val="18"/>
                <w:szCs w:val="18"/>
              </w:rPr>
              <w:t>1</w:t>
            </w:r>
            <w:r w:rsidR="00B83A89">
              <w:rPr>
                <w:rFonts w:ascii="Calibri" w:hAnsi="Calibri" w:cs="Calibri"/>
                <w:color w:val="000000"/>
                <w:sz w:val="18"/>
                <w:szCs w:val="18"/>
              </w:rPr>
              <w:t>13,914.64</w:t>
            </w:r>
          </w:p>
        </w:tc>
      </w:tr>
      <w:tr w:rsidR="007F59AC" w:rsidRPr="00DF3CDB" w:rsidTr="002F20C7">
        <w:trPr>
          <w:jc w:val="center"/>
        </w:trPr>
        <w:tc>
          <w:tcPr>
            <w:tcW w:w="3936" w:type="dxa"/>
            <w:vAlign w:val="bottom"/>
          </w:tcPr>
          <w:p w:rsidR="007F59AC" w:rsidRPr="00045BEA" w:rsidRDefault="007F59AC" w:rsidP="00090808">
            <w:pPr>
              <w:jc w:val="both"/>
              <w:rPr>
                <w:rFonts w:asciiTheme="minorHAnsi" w:hAnsiTheme="minorHAnsi" w:cs="Calibri"/>
                <w:color w:val="000000"/>
                <w:sz w:val="20"/>
                <w:szCs w:val="20"/>
              </w:rPr>
            </w:pPr>
            <w:r>
              <w:rPr>
                <w:rFonts w:asciiTheme="minorHAnsi" w:hAnsiTheme="minorHAnsi" w:cs="Calibri"/>
                <w:color w:val="000000"/>
                <w:sz w:val="20"/>
                <w:szCs w:val="20"/>
              </w:rPr>
              <w:t>Acreedores Diversos</w:t>
            </w:r>
          </w:p>
        </w:tc>
        <w:tc>
          <w:tcPr>
            <w:tcW w:w="1799" w:type="dxa"/>
            <w:vAlign w:val="bottom"/>
          </w:tcPr>
          <w:p w:rsidR="007F59AC" w:rsidRDefault="00A778FE" w:rsidP="00B81BA8">
            <w:pPr>
              <w:jc w:val="right"/>
              <w:rPr>
                <w:rFonts w:ascii="Calibri" w:hAnsi="Calibri" w:cs="Calibri"/>
                <w:color w:val="000000"/>
                <w:sz w:val="18"/>
                <w:szCs w:val="18"/>
              </w:rPr>
            </w:pPr>
            <w:r w:rsidRPr="00A778FE">
              <w:rPr>
                <w:rFonts w:ascii="Calibri" w:hAnsi="Calibri" w:cs="Calibri"/>
                <w:color w:val="000000"/>
                <w:sz w:val="18"/>
                <w:szCs w:val="18"/>
              </w:rPr>
              <w:t>$</w:t>
            </w:r>
            <w:r w:rsidR="00B81BA8">
              <w:rPr>
                <w:rFonts w:ascii="Calibri" w:hAnsi="Calibri" w:cs="Calibri"/>
                <w:color w:val="000000"/>
                <w:sz w:val="18"/>
                <w:szCs w:val="18"/>
              </w:rPr>
              <w:t>130,687.17</w:t>
            </w:r>
          </w:p>
        </w:tc>
      </w:tr>
      <w:tr w:rsidR="007F59AC" w:rsidRPr="00DF3CDB" w:rsidTr="00B263EA">
        <w:trPr>
          <w:jc w:val="center"/>
        </w:trPr>
        <w:tc>
          <w:tcPr>
            <w:tcW w:w="3936" w:type="dxa"/>
            <w:vAlign w:val="bottom"/>
          </w:tcPr>
          <w:p w:rsidR="007F59AC" w:rsidRPr="00DF3CDB" w:rsidRDefault="007F59AC" w:rsidP="00DF3CDB">
            <w:pPr>
              <w:jc w:val="both"/>
              <w:rPr>
                <w:rFonts w:asciiTheme="minorHAnsi" w:hAnsiTheme="minorHAnsi" w:cs="Calibri"/>
                <w:b/>
                <w:color w:val="000000"/>
                <w:sz w:val="20"/>
                <w:szCs w:val="20"/>
              </w:rPr>
            </w:pPr>
            <w:r w:rsidRPr="00DF3CDB">
              <w:rPr>
                <w:rFonts w:asciiTheme="minorHAnsi" w:hAnsiTheme="minorHAnsi" w:cs="Calibri"/>
                <w:b/>
                <w:color w:val="000000"/>
                <w:sz w:val="20"/>
                <w:szCs w:val="20"/>
              </w:rPr>
              <w:t>Total</w:t>
            </w:r>
          </w:p>
        </w:tc>
        <w:tc>
          <w:tcPr>
            <w:tcW w:w="1799" w:type="dxa"/>
            <w:vAlign w:val="bottom"/>
          </w:tcPr>
          <w:p w:rsidR="007F59AC" w:rsidRDefault="00A778FE" w:rsidP="00B81BA8">
            <w:pPr>
              <w:jc w:val="right"/>
              <w:rPr>
                <w:rFonts w:ascii="Calibri" w:hAnsi="Calibri" w:cs="Calibri"/>
                <w:b/>
                <w:bCs/>
                <w:color w:val="000000"/>
                <w:sz w:val="18"/>
                <w:szCs w:val="18"/>
              </w:rPr>
            </w:pPr>
            <w:r w:rsidRPr="00A778FE">
              <w:rPr>
                <w:rFonts w:ascii="Calibri" w:hAnsi="Calibri" w:cs="Calibri"/>
                <w:b/>
                <w:bCs/>
                <w:color w:val="000000"/>
                <w:sz w:val="18"/>
                <w:szCs w:val="18"/>
              </w:rPr>
              <w:t>$</w:t>
            </w:r>
            <w:r w:rsidR="00B81BA8">
              <w:rPr>
                <w:rFonts w:ascii="Calibri" w:hAnsi="Calibri" w:cs="Calibri"/>
                <w:b/>
                <w:bCs/>
                <w:color w:val="000000"/>
                <w:sz w:val="18"/>
                <w:szCs w:val="18"/>
              </w:rPr>
              <w:t>935,456.40</w:t>
            </w:r>
          </w:p>
        </w:tc>
      </w:tr>
    </w:tbl>
    <w:p w:rsidR="00F54B85" w:rsidRPr="00DF3CDB" w:rsidRDefault="00F54B85" w:rsidP="00DF3CDB">
      <w:pPr>
        <w:jc w:val="both"/>
        <w:rPr>
          <w:rFonts w:asciiTheme="minorHAnsi" w:hAnsiTheme="minorHAnsi"/>
          <w:sz w:val="20"/>
          <w:szCs w:val="20"/>
        </w:rPr>
      </w:pPr>
    </w:p>
    <w:p w:rsidR="00E42B00" w:rsidRPr="00DF3CDB" w:rsidRDefault="00E42B00" w:rsidP="008E4CC7">
      <w:pPr>
        <w:pStyle w:val="Ttulo6"/>
        <w:pBdr>
          <w:bottom w:val="single" w:sz="4" w:space="2" w:color="auto"/>
        </w:pBdr>
        <w:jc w:val="both"/>
        <w:rPr>
          <w:rFonts w:asciiTheme="minorHAnsi" w:hAnsiTheme="minorHAnsi"/>
          <w:b w:val="0"/>
          <w:color w:val="FF0000"/>
          <w:sz w:val="20"/>
          <w:szCs w:val="20"/>
        </w:rPr>
      </w:pPr>
      <w:r w:rsidRPr="00ED3905">
        <w:rPr>
          <w:rFonts w:asciiTheme="minorHAnsi" w:hAnsiTheme="minorHAnsi"/>
          <w:sz w:val="20"/>
          <w:szCs w:val="20"/>
        </w:rPr>
        <w:t>Nota</w:t>
      </w:r>
      <w:r w:rsidR="00EA7721" w:rsidRPr="00ED3905">
        <w:rPr>
          <w:rFonts w:asciiTheme="minorHAnsi" w:hAnsiTheme="minorHAnsi"/>
          <w:sz w:val="20"/>
          <w:szCs w:val="20"/>
        </w:rPr>
        <w:t xml:space="preserve"> </w:t>
      </w:r>
      <w:r w:rsidR="00734FE3" w:rsidRPr="00ED3905">
        <w:rPr>
          <w:rFonts w:asciiTheme="minorHAnsi" w:hAnsiTheme="minorHAnsi"/>
          <w:sz w:val="20"/>
          <w:szCs w:val="20"/>
        </w:rPr>
        <w:t>7</w:t>
      </w:r>
      <w:r w:rsidRPr="00ED3905">
        <w:rPr>
          <w:rFonts w:asciiTheme="minorHAnsi" w:hAnsiTheme="minorHAnsi"/>
          <w:sz w:val="20"/>
          <w:szCs w:val="20"/>
        </w:rPr>
        <w:t xml:space="preserve"> Ingresos</w:t>
      </w:r>
    </w:p>
    <w:p w:rsidR="00E42B00" w:rsidRPr="00DF3CDB" w:rsidRDefault="00E42B00" w:rsidP="00DF3CDB">
      <w:pPr>
        <w:pStyle w:val="Sangradetextonormal"/>
        <w:tabs>
          <w:tab w:val="left" w:pos="7655"/>
        </w:tabs>
        <w:jc w:val="both"/>
        <w:rPr>
          <w:rFonts w:asciiTheme="minorHAnsi" w:hAnsiTheme="minorHAnsi"/>
          <w:b/>
          <w:sz w:val="20"/>
          <w:szCs w:val="20"/>
        </w:rPr>
      </w:pPr>
    </w:p>
    <w:p w:rsidR="00E42B00" w:rsidRPr="00DF3CDB" w:rsidRDefault="00232ADB" w:rsidP="00153BA5">
      <w:pPr>
        <w:pStyle w:val="Sangradetextonormal"/>
        <w:ind w:left="0"/>
        <w:jc w:val="both"/>
        <w:rPr>
          <w:rFonts w:asciiTheme="minorHAnsi" w:hAnsiTheme="minorHAnsi"/>
          <w:sz w:val="20"/>
          <w:szCs w:val="20"/>
        </w:rPr>
      </w:pPr>
      <w:r w:rsidRPr="00DF3CDB">
        <w:rPr>
          <w:rFonts w:asciiTheme="minorHAnsi" w:hAnsiTheme="minorHAnsi"/>
          <w:sz w:val="20"/>
          <w:szCs w:val="20"/>
        </w:rPr>
        <w:t xml:space="preserve">Al </w:t>
      </w:r>
      <w:r w:rsidR="00C77A7C">
        <w:rPr>
          <w:rFonts w:asciiTheme="minorHAnsi" w:hAnsiTheme="minorHAnsi"/>
          <w:sz w:val="20"/>
          <w:szCs w:val="20"/>
        </w:rPr>
        <w:t>31</w:t>
      </w:r>
      <w:r w:rsidR="00EF095D" w:rsidRPr="00A76FFB">
        <w:rPr>
          <w:rFonts w:asciiTheme="minorHAnsi" w:hAnsiTheme="minorHAnsi"/>
          <w:sz w:val="20"/>
          <w:szCs w:val="20"/>
        </w:rPr>
        <w:t xml:space="preserve"> de </w:t>
      </w:r>
      <w:r w:rsidR="00900104">
        <w:rPr>
          <w:rFonts w:asciiTheme="minorHAnsi" w:hAnsiTheme="minorHAnsi"/>
          <w:sz w:val="20"/>
          <w:szCs w:val="20"/>
        </w:rPr>
        <w:t>Marzo</w:t>
      </w:r>
      <w:r w:rsidR="005C5272">
        <w:rPr>
          <w:rFonts w:asciiTheme="minorHAnsi" w:hAnsiTheme="minorHAnsi"/>
          <w:sz w:val="20"/>
          <w:szCs w:val="20"/>
        </w:rPr>
        <w:t xml:space="preserve"> de 201</w:t>
      </w:r>
      <w:r w:rsidR="00396DD0">
        <w:rPr>
          <w:rFonts w:asciiTheme="minorHAnsi" w:hAnsiTheme="minorHAnsi"/>
          <w:sz w:val="20"/>
          <w:szCs w:val="20"/>
        </w:rPr>
        <w:t>8</w:t>
      </w:r>
      <w:r w:rsidR="00ED3905">
        <w:rPr>
          <w:rFonts w:asciiTheme="minorHAnsi" w:hAnsiTheme="minorHAnsi"/>
          <w:sz w:val="20"/>
          <w:szCs w:val="20"/>
        </w:rPr>
        <w:t xml:space="preserve"> </w:t>
      </w:r>
      <w:r w:rsidR="00E42B00" w:rsidRPr="00DF3CDB">
        <w:rPr>
          <w:rFonts w:asciiTheme="minorHAnsi" w:hAnsiTheme="minorHAnsi"/>
          <w:sz w:val="20"/>
          <w:szCs w:val="20"/>
        </w:rPr>
        <w:t xml:space="preserve">esta cuenta se </w:t>
      </w:r>
      <w:r w:rsidR="00502B56" w:rsidRPr="00DF3CDB">
        <w:rPr>
          <w:rFonts w:asciiTheme="minorHAnsi" w:hAnsiTheme="minorHAnsi"/>
          <w:sz w:val="20"/>
          <w:szCs w:val="20"/>
        </w:rPr>
        <w:t xml:space="preserve">integra </w:t>
      </w:r>
      <w:r w:rsidR="00E42B00" w:rsidRPr="00DF3CDB">
        <w:rPr>
          <w:rFonts w:asciiTheme="minorHAnsi" w:hAnsiTheme="minorHAnsi"/>
          <w:sz w:val="20"/>
          <w:szCs w:val="20"/>
        </w:rPr>
        <w:t xml:space="preserve">de la siguiente manera: </w:t>
      </w:r>
    </w:p>
    <w:p w:rsidR="008C5ED2" w:rsidRPr="00DF3CDB" w:rsidRDefault="008C5ED2" w:rsidP="00DF3CDB">
      <w:pPr>
        <w:pStyle w:val="Sangradetextonormal"/>
        <w:tabs>
          <w:tab w:val="left" w:pos="7655"/>
        </w:tabs>
        <w:jc w:val="both"/>
        <w:rPr>
          <w:rFonts w:asciiTheme="minorHAnsi" w:hAnsiTheme="minorHAnsi"/>
          <w:b/>
          <w:sz w:val="20"/>
          <w:szCs w:val="20"/>
        </w:rPr>
      </w:pPr>
    </w:p>
    <w:p w:rsidR="00065BF4" w:rsidRDefault="008C5ED2" w:rsidP="00DF3CDB">
      <w:pPr>
        <w:pStyle w:val="Sangradetextonormal"/>
        <w:tabs>
          <w:tab w:val="left" w:pos="7655"/>
        </w:tabs>
        <w:ind w:left="0"/>
        <w:jc w:val="both"/>
        <w:rPr>
          <w:rFonts w:asciiTheme="minorHAnsi" w:hAnsiTheme="minorHAnsi"/>
          <w:sz w:val="20"/>
          <w:szCs w:val="20"/>
        </w:rPr>
      </w:pPr>
      <w:r w:rsidRPr="00DF3CDB">
        <w:rPr>
          <w:rFonts w:asciiTheme="minorHAnsi" w:hAnsiTheme="minorHAnsi"/>
          <w:sz w:val="20"/>
          <w:szCs w:val="20"/>
        </w:rPr>
        <w:t xml:space="preserve">Transferencias internas y </w:t>
      </w:r>
      <w:r w:rsidR="00CC725F">
        <w:rPr>
          <w:rFonts w:asciiTheme="minorHAnsi" w:hAnsiTheme="minorHAnsi"/>
          <w:sz w:val="20"/>
          <w:szCs w:val="20"/>
        </w:rPr>
        <w:t>a</w:t>
      </w:r>
      <w:r w:rsidRPr="00DF3CDB">
        <w:rPr>
          <w:rFonts w:asciiTheme="minorHAnsi" w:hAnsiTheme="minorHAnsi"/>
          <w:sz w:val="20"/>
          <w:szCs w:val="20"/>
        </w:rPr>
        <w:t xml:space="preserve">signaciones del sector público </w:t>
      </w:r>
      <w:r w:rsidRPr="00F92C1F">
        <w:rPr>
          <w:rFonts w:asciiTheme="minorHAnsi" w:hAnsiTheme="minorHAnsi"/>
          <w:sz w:val="20"/>
          <w:szCs w:val="20"/>
        </w:rPr>
        <w:t xml:space="preserve">Recursos </w:t>
      </w:r>
      <w:r w:rsidR="00065BF4" w:rsidRPr="00F92C1F">
        <w:rPr>
          <w:rFonts w:asciiTheme="minorHAnsi" w:hAnsiTheme="minorHAnsi"/>
          <w:sz w:val="20"/>
          <w:szCs w:val="20"/>
        </w:rPr>
        <w:t>Estatales</w:t>
      </w:r>
      <w:r w:rsidRPr="00F92C1F">
        <w:rPr>
          <w:rFonts w:asciiTheme="minorHAnsi" w:hAnsiTheme="minorHAnsi"/>
          <w:sz w:val="20"/>
          <w:szCs w:val="20"/>
        </w:rPr>
        <w:t xml:space="preserve"> </w:t>
      </w:r>
      <w:r w:rsidRPr="00C364FD">
        <w:rPr>
          <w:rFonts w:asciiTheme="minorHAnsi" w:hAnsiTheme="minorHAnsi"/>
          <w:b/>
          <w:sz w:val="20"/>
          <w:szCs w:val="20"/>
        </w:rPr>
        <w:t xml:space="preserve">$  </w:t>
      </w:r>
      <w:r w:rsidR="00C364FD" w:rsidRPr="00C364FD">
        <w:rPr>
          <w:rFonts w:asciiTheme="minorHAnsi" w:hAnsiTheme="minorHAnsi"/>
          <w:b/>
          <w:sz w:val="20"/>
          <w:szCs w:val="20"/>
        </w:rPr>
        <w:t>19, 829,059.39</w:t>
      </w:r>
    </w:p>
    <w:p w:rsidR="00065BF4" w:rsidRPr="00DF3CDB" w:rsidRDefault="00065BF4" w:rsidP="00DF3CDB">
      <w:pPr>
        <w:pStyle w:val="Sangradetextonormal"/>
        <w:tabs>
          <w:tab w:val="left" w:pos="7655"/>
        </w:tabs>
        <w:ind w:left="0"/>
        <w:jc w:val="both"/>
        <w:rPr>
          <w:rFonts w:asciiTheme="minorHAnsi" w:hAnsiTheme="minorHAnsi"/>
          <w:sz w:val="20"/>
          <w:szCs w:val="20"/>
        </w:rPr>
      </w:pPr>
    </w:p>
    <w:p w:rsidR="004A7169" w:rsidRPr="000B3BCC" w:rsidRDefault="000B3BCC" w:rsidP="000B3BCC">
      <w:pPr>
        <w:pStyle w:val="Ttulo6"/>
        <w:pBdr>
          <w:bottom w:val="single" w:sz="4" w:space="2" w:color="auto"/>
        </w:pBdr>
        <w:jc w:val="both"/>
        <w:rPr>
          <w:rFonts w:asciiTheme="minorHAnsi" w:hAnsiTheme="minorHAnsi"/>
          <w:sz w:val="20"/>
          <w:szCs w:val="20"/>
        </w:rPr>
      </w:pPr>
      <w:r w:rsidRPr="00CC725F">
        <w:rPr>
          <w:rFonts w:asciiTheme="minorHAnsi" w:hAnsiTheme="minorHAnsi"/>
          <w:sz w:val="20"/>
          <w:szCs w:val="20"/>
        </w:rPr>
        <w:t xml:space="preserve">Nota </w:t>
      </w:r>
      <w:r>
        <w:rPr>
          <w:rFonts w:asciiTheme="minorHAnsi" w:hAnsiTheme="minorHAnsi"/>
          <w:sz w:val="20"/>
          <w:szCs w:val="20"/>
        </w:rPr>
        <w:t>8</w:t>
      </w:r>
      <w:r w:rsidR="0031346E">
        <w:rPr>
          <w:rFonts w:asciiTheme="minorHAnsi" w:hAnsiTheme="minorHAnsi"/>
          <w:sz w:val="20"/>
          <w:szCs w:val="20"/>
        </w:rPr>
        <w:t xml:space="preserve">  </w:t>
      </w:r>
      <w:r w:rsidRPr="000B3BCC">
        <w:rPr>
          <w:rFonts w:asciiTheme="minorHAnsi" w:hAnsiTheme="minorHAnsi"/>
          <w:sz w:val="20"/>
          <w:szCs w:val="20"/>
        </w:rPr>
        <w:t>Provisión para Contingencias a Largo Plazo.</w:t>
      </w:r>
    </w:p>
    <w:p w:rsidR="00001B4A" w:rsidRDefault="00001B4A" w:rsidP="00DF3CDB">
      <w:pPr>
        <w:pStyle w:val="Sangradetextonormal"/>
        <w:tabs>
          <w:tab w:val="left" w:pos="7655"/>
        </w:tabs>
        <w:ind w:left="0"/>
        <w:jc w:val="both"/>
        <w:rPr>
          <w:rFonts w:asciiTheme="minorHAnsi" w:hAnsiTheme="minorHAnsi"/>
          <w:b/>
          <w:sz w:val="20"/>
          <w:szCs w:val="20"/>
        </w:rPr>
      </w:pPr>
    </w:p>
    <w:p w:rsidR="000B3BCC" w:rsidRDefault="000B3BCC" w:rsidP="000B3BCC">
      <w:pPr>
        <w:pStyle w:val="Sangradetextonormal"/>
        <w:tabs>
          <w:tab w:val="left" w:pos="7655"/>
        </w:tabs>
        <w:ind w:left="0"/>
        <w:jc w:val="both"/>
        <w:rPr>
          <w:rFonts w:asciiTheme="minorHAnsi" w:hAnsiTheme="minorHAnsi"/>
          <w:sz w:val="20"/>
          <w:szCs w:val="20"/>
        </w:rPr>
      </w:pPr>
      <w:r w:rsidRPr="000B3BCC">
        <w:rPr>
          <w:rFonts w:asciiTheme="minorHAnsi" w:hAnsiTheme="minorHAnsi"/>
          <w:sz w:val="20"/>
          <w:szCs w:val="20"/>
        </w:rPr>
        <w:t xml:space="preserve">         Para dar cumplimiento a la recomendación  contenida en el Dictamena los Estados Financieros del Ejercicio Fiscal 2015 emitido por el Despacho de Auditoría Externa y de acuerdo a lo establecido en la NIF D-3 “Benefi</w:t>
      </w:r>
      <w:r w:rsidR="00EB77FF">
        <w:rPr>
          <w:rFonts w:asciiTheme="minorHAnsi" w:hAnsiTheme="minorHAnsi"/>
          <w:sz w:val="20"/>
          <w:szCs w:val="20"/>
        </w:rPr>
        <w:t xml:space="preserve">cios a los </w:t>
      </w:r>
      <w:r w:rsidR="00ED3905">
        <w:rPr>
          <w:rFonts w:asciiTheme="minorHAnsi" w:hAnsiTheme="minorHAnsi"/>
          <w:sz w:val="20"/>
          <w:szCs w:val="20"/>
        </w:rPr>
        <w:t>Empleados“; al</w:t>
      </w:r>
      <w:r w:rsidR="00E56EC6">
        <w:rPr>
          <w:rFonts w:asciiTheme="minorHAnsi" w:hAnsiTheme="minorHAnsi"/>
          <w:sz w:val="20"/>
          <w:szCs w:val="20"/>
        </w:rPr>
        <w:t xml:space="preserve"> </w:t>
      </w:r>
      <w:r w:rsidR="006C0C42">
        <w:rPr>
          <w:rFonts w:asciiTheme="minorHAnsi" w:hAnsiTheme="minorHAnsi"/>
          <w:sz w:val="20"/>
          <w:szCs w:val="20"/>
        </w:rPr>
        <w:t>31</w:t>
      </w:r>
      <w:r w:rsidR="00EB77FF">
        <w:rPr>
          <w:rFonts w:asciiTheme="minorHAnsi" w:hAnsiTheme="minorHAnsi"/>
          <w:sz w:val="20"/>
          <w:szCs w:val="20"/>
        </w:rPr>
        <w:t xml:space="preserve"> de </w:t>
      </w:r>
      <w:r w:rsidR="00900104">
        <w:rPr>
          <w:rFonts w:asciiTheme="minorHAnsi" w:hAnsiTheme="minorHAnsi"/>
          <w:sz w:val="20"/>
          <w:szCs w:val="20"/>
        </w:rPr>
        <w:t>Marzo</w:t>
      </w:r>
      <w:r w:rsidR="00396DD0">
        <w:rPr>
          <w:rFonts w:asciiTheme="minorHAnsi" w:hAnsiTheme="minorHAnsi"/>
          <w:sz w:val="20"/>
          <w:szCs w:val="20"/>
        </w:rPr>
        <w:t xml:space="preserve"> de  2018</w:t>
      </w:r>
      <w:r w:rsidRPr="000B3BCC">
        <w:rPr>
          <w:rFonts w:asciiTheme="minorHAnsi" w:hAnsiTheme="minorHAnsi"/>
          <w:sz w:val="20"/>
          <w:szCs w:val="20"/>
        </w:rPr>
        <w:t xml:space="preserve"> el saldo de la cuenta “Provisión para Contingencias a Largo Plazo” incluye la provisión de pasivos por obligaciones laborales. Estas provisiones representan obligaciones presentes de eventos pasados en las que es probable la salida de recursos económicos. Las provisiones se han registrado contablemente bajo la mejor estimación razonable efectuada por la Administración.</w:t>
      </w:r>
    </w:p>
    <w:p w:rsidR="00ED3905" w:rsidRDefault="00ED3905" w:rsidP="00DF3CDB">
      <w:pPr>
        <w:pStyle w:val="Sangradetextonormal"/>
        <w:tabs>
          <w:tab w:val="left" w:pos="7655"/>
        </w:tabs>
        <w:ind w:left="0"/>
        <w:jc w:val="both"/>
        <w:rPr>
          <w:rFonts w:asciiTheme="minorHAnsi" w:hAnsiTheme="minorHAnsi"/>
          <w:sz w:val="20"/>
          <w:szCs w:val="20"/>
        </w:rPr>
      </w:pPr>
    </w:p>
    <w:p w:rsidR="004247E2" w:rsidRDefault="004247E2" w:rsidP="00DF3CDB">
      <w:pPr>
        <w:pStyle w:val="Sangradetextonormal"/>
        <w:tabs>
          <w:tab w:val="left" w:pos="7655"/>
        </w:tabs>
        <w:ind w:left="0"/>
        <w:jc w:val="both"/>
        <w:rPr>
          <w:rFonts w:asciiTheme="minorHAnsi" w:hAnsiTheme="minorHAnsi"/>
          <w:b/>
          <w:sz w:val="20"/>
          <w:szCs w:val="20"/>
        </w:rPr>
      </w:pPr>
    </w:p>
    <w:p w:rsidR="008E4CC7" w:rsidRPr="00DF3CDB" w:rsidRDefault="008E4CC7" w:rsidP="008E4CC7">
      <w:pPr>
        <w:pStyle w:val="Ttulo6"/>
        <w:pBdr>
          <w:bottom w:val="single" w:sz="4" w:space="2" w:color="auto"/>
          <w:right w:val="single" w:sz="4" w:space="30" w:color="auto"/>
        </w:pBdr>
        <w:jc w:val="both"/>
        <w:rPr>
          <w:rFonts w:asciiTheme="minorHAnsi" w:hAnsiTheme="minorHAnsi"/>
          <w:b w:val="0"/>
          <w:color w:val="FF0000"/>
          <w:sz w:val="20"/>
          <w:szCs w:val="20"/>
        </w:rPr>
      </w:pPr>
      <w:r w:rsidRPr="00DF3CDB">
        <w:rPr>
          <w:rFonts w:asciiTheme="minorHAnsi" w:hAnsiTheme="minorHAnsi"/>
          <w:sz w:val="20"/>
          <w:szCs w:val="20"/>
        </w:rPr>
        <w:t xml:space="preserve">Nota  </w:t>
      </w:r>
      <w:r w:rsidR="000B3BCC">
        <w:rPr>
          <w:rFonts w:asciiTheme="minorHAnsi" w:hAnsiTheme="minorHAnsi"/>
          <w:sz w:val="20"/>
          <w:szCs w:val="20"/>
        </w:rPr>
        <w:t>9</w:t>
      </w:r>
      <w:r w:rsidR="0031346E">
        <w:rPr>
          <w:rFonts w:asciiTheme="minorHAnsi" w:hAnsiTheme="minorHAnsi"/>
          <w:sz w:val="20"/>
          <w:szCs w:val="20"/>
        </w:rPr>
        <w:t xml:space="preserve">  </w:t>
      </w:r>
      <w:r w:rsidRPr="008E4CC7">
        <w:rPr>
          <w:rFonts w:asciiTheme="minorHAnsi" w:hAnsiTheme="minorHAnsi"/>
          <w:sz w:val="20"/>
          <w:szCs w:val="20"/>
        </w:rPr>
        <w:t>Conciliación entre los Ingresos Presupuestarios y Contables</w:t>
      </w:r>
    </w:p>
    <w:p w:rsidR="008E4CC7" w:rsidRDefault="008E4CC7" w:rsidP="00DF3CDB">
      <w:pPr>
        <w:pStyle w:val="Sangradetextonormal"/>
        <w:tabs>
          <w:tab w:val="left" w:pos="7655"/>
        </w:tabs>
        <w:ind w:left="0"/>
        <w:jc w:val="both"/>
        <w:rPr>
          <w:rFonts w:asciiTheme="minorHAnsi" w:hAnsiTheme="minorHAnsi"/>
          <w:b/>
          <w:sz w:val="20"/>
          <w:szCs w:val="20"/>
        </w:rPr>
      </w:pPr>
    </w:p>
    <w:p w:rsidR="00CD64C8" w:rsidRDefault="00CD64C8" w:rsidP="00DF3CDB">
      <w:pPr>
        <w:pStyle w:val="Sangradetextonormal"/>
        <w:tabs>
          <w:tab w:val="left" w:pos="7655"/>
        </w:tabs>
        <w:ind w:left="0"/>
        <w:jc w:val="both"/>
        <w:rPr>
          <w:rFonts w:asciiTheme="minorHAnsi" w:hAnsiTheme="minorHAnsi"/>
          <w:b/>
          <w:sz w:val="20"/>
          <w:szCs w:val="20"/>
        </w:rPr>
      </w:pPr>
    </w:p>
    <w:tbl>
      <w:tblPr>
        <w:tblW w:w="10708" w:type="dxa"/>
        <w:jc w:val="center"/>
        <w:tblInd w:w="55" w:type="dxa"/>
        <w:tblCellMar>
          <w:left w:w="70" w:type="dxa"/>
          <w:right w:w="70" w:type="dxa"/>
        </w:tblCellMar>
        <w:tblLook w:val="04A0" w:firstRow="1" w:lastRow="0" w:firstColumn="1" w:lastColumn="0" w:noHBand="0" w:noVBand="1"/>
      </w:tblPr>
      <w:tblGrid>
        <w:gridCol w:w="6788"/>
        <w:gridCol w:w="1905"/>
        <w:gridCol w:w="2015"/>
      </w:tblGrid>
      <w:tr w:rsidR="005D12B2" w:rsidRPr="005D12B2" w:rsidTr="006C01C8">
        <w:trPr>
          <w:trHeight w:val="300"/>
          <w:jc w:val="center"/>
        </w:trPr>
        <w:tc>
          <w:tcPr>
            <w:tcW w:w="10708" w:type="dxa"/>
            <w:gridSpan w:val="3"/>
            <w:tcBorders>
              <w:top w:val="single" w:sz="8" w:space="0" w:color="auto"/>
              <w:left w:val="single" w:sz="8" w:space="0" w:color="auto"/>
              <w:bottom w:val="nil"/>
              <w:right w:val="single" w:sz="8" w:space="0" w:color="000000"/>
            </w:tcBorders>
            <w:shd w:val="clear" w:color="auto" w:fill="auto"/>
            <w:noWrap/>
            <w:vAlign w:val="bottom"/>
            <w:hideMark/>
          </w:tcPr>
          <w:p w:rsidR="005D12B2" w:rsidRPr="005D12B2" w:rsidRDefault="005D12B2" w:rsidP="005D12B2">
            <w:pPr>
              <w:jc w:val="center"/>
              <w:rPr>
                <w:rFonts w:ascii="Calibri" w:hAnsi="Calibri" w:cs="Calibri"/>
                <w:b/>
                <w:bCs/>
                <w:color w:val="000000"/>
                <w:sz w:val="20"/>
                <w:szCs w:val="20"/>
                <w:lang w:eastAsia="es-MX"/>
              </w:rPr>
            </w:pPr>
            <w:r w:rsidRPr="005D12B2">
              <w:rPr>
                <w:rFonts w:ascii="Calibri" w:hAnsi="Calibri" w:cs="Calibri"/>
                <w:b/>
                <w:bCs/>
                <w:color w:val="000000"/>
                <w:sz w:val="20"/>
                <w:szCs w:val="20"/>
                <w:lang w:eastAsia="es-MX"/>
              </w:rPr>
              <w:t>Auditoría Superior del Estado</w:t>
            </w:r>
          </w:p>
        </w:tc>
      </w:tr>
      <w:tr w:rsidR="005D12B2" w:rsidRPr="005D12B2" w:rsidTr="006C01C8">
        <w:trPr>
          <w:trHeight w:val="300"/>
          <w:jc w:val="center"/>
        </w:trPr>
        <w:tc>
          <w:tcPr>
            <w:tcW w:w="10708" w:type="dxa"/>
            <w:gridSpan w:val="3"/>
            <w:tcBorders>
              <w:top w:val="nil"/>
              <w:left w:val="single" w:sz="8" w:space="0" w:color="auto"/>
              <w:bottom w:val="nil"/>
              <w:right w:val="single" w:sz="8" w:space="0" w:color="000000"/>
            </w:tcBorders>
            <w:shd w:val="clear" w:color="auto" w:fill="auto"/>
            <w:vAlign w:val="bottom"/>
            <w:hideMark/>
          </w:tcPr>
          <w:p w:rsidR="005D12B2" w:rsidRPr="005D12B2" w:rsidRDefault="005D12B2" w:rsidP="005D12B2">
            <w:pPr>
              <w:jc w:val="center"/>
              <w:rPr>
                <w:rFonts w:ascii="Calibri" w:hAnsi="Calibri" w:cs="Calibri"/>
                <w:b/>
                <w:bCs/>
                <w:color w:val="000000"/>
                <w:sz w:val="20"/>
                <w:szCs w:val="20"/>
                <w:lang w:eastAsia="es-MX"/>
              </w:rPr>
            </w:pPr>
            <w:r w:rsidRPr="005D12B2">
              <w:rPr>
                <w:rFonts w:ascii="Calibri" w:hAnsi="Calibri" w:cs="Calibri"/>
                <w:b/>
                <w:bCs/>
                <w:color w:val="000000"/>
                <w:sz w:val="20"/>
                <w:szCs w:val="20"/>
                <w:lang w:eastAsia="es-MX"/>
              </w:rPr>
              <w:t>Conciliación entre los Ingresos Presupuestarios y Contables</w:t>
            </w:r>
          </w:p>
        </w:tc>
      </w:tr>
      <w:tr w:rsidR="005D12B2" w:rsidRPr="005D12B2" w:rsidTr="006C01C8">
        <w:trPr>
          <w:trHeight w:val="300"/>
          <w:jc w:val="center"/>
        </w:trPr>
        <w:tc>
          <w:tcPr>
            <w:tcW w:w="10708" w:type="dxa"/>
            <w:gridSpan w:val="3"/>
            <w:tcBorders>
              <w:top w:val="nil"/>
              <w:left w:val="single" w:sz="8" w:space="0" w:color="auto"/>
              <w:bottom w:val="nil"/>
              <w:right w:val="single" w:sz="8" w:space="0" w:color="000000"/>
            </w:tcBorders>
            <w:shd w:val="clear" w:color="auto" w:fill="auto"/>
            <w:noWrap/>
            <w:vAlign w:val="bottom"/>
            <w:hideMark/>
          </w:tcPr>
          <w:p w:rsidR="005D12B2" w:rsidRPr="005D12B2" w:rsidRDefault="00E63AC0" w:rsidP="00900104">
            <w:pPr>
              <w:jc w:val="center"/>
              <w:rPr>
                <w:rFonts w:ascii="Calibri" w:hAnsi="Calibri" w:cs="Calibri"/>
                <w:b/>
                <w:bCs/>
                <w:color w:val="000000"/>
                <w:sz w:val="20"/>
                <w:szCs w:val="20"/>
                <w:lang w:eastAsia="es-MX"/>
              </w:rPr>
            </w:pPr>
            <w:r>
              <w:rPr>
                <w:rFonts w:ascii="Calibri" w:hAnsi="Calibri" w:cs="Calibri"/>
                <w:b/>
                <w:bCs/>
                <w:color w:val="000000"/>
                <w:sz w:val="20"/>
                <w:szCs w:val="20"/>
                <w:lang w:eastAsia="es-MX"/>
              </w:rPr>
              <w:t>Correspondiente del 1° de e</w:t>
            </w:r>
            <w:r w:rsidR="005D12B2" w:rsidRPr="005D12B2">
              <w:rPr>
                <w:rFonts w:ascii="Calibri" w:hAnsi="Calibri" w:cs="Calibri"/>
                <w:b/>
                <w:bCs/>
                <w:color w:val="000000"/>
                <w:sz w:val="20"/>
                <w:szCs w:val="20"/>
                <w:lang w:eastAsia="es-MX"/>
              </w:rPr>
              <w:t xml:space="preserve">nero al </w:t>
            </w:r>
            <w:r w:rsidR="004211AA">
              <w:rPr>
                <w:rFonts w:asciiTheme="minorHAnsi" w:hAnsiTheme="minorHAnsi"/>
                <w:b/>
                <w:sz w:val="20"/>
                <w:szCs w:val="20"/>
              </w:rPr>
              <w:t>31</w:t>
            </w:r>
            <w:r w:rsidR="005C5272">
              <w:rPr>
                <w:rFonts w:asciiTheme="minorHAnsi" w:hAnsiTheme="minorHAnsi"/>
                <w:b/>
                <w:sz w:val="20"/>
                <w:szCs w:val="20"/>
              </w:rPr>
              <w:t xml:space="preserve"> de </w:t>
            </w:r>
            <w:r w:rsidR="00900104">
              <w:rPr>
                <w:rFonts w:asciiTheme="minorHAnsi" w:hAnsiTheme="minorHAnsi"/>
                <w:b/>
                <w:sz w:val="20"/>
                <w:szCs w:val="20"/>
              </w:rPr>
              <w:t>Marz</w:t>
            </w:r>
            <w:r w:rsidR="00396DD0">
              <w:rPr>
                <w:rFonts w:asciiTheme="minorHAnsi" w:hAnsiTheme="minorHAnsi"/>
                <w:b/>
                <w:sz w:val="20"/>
                <w:szCs w:val="20"/>
              </w:rPr>
              <w:t>o</w:t>
            </w:r>
            <w:r w:rsidR="006D3539" w:rsidRPr="00824BC7">
              <w:rPr>
                <w:rFonts w:asciiTheme="minorHAnsi" w:hAnsiTheme="minorHAnsi"/>
                <w:b/>
                <w:sz w:val="20"/>
                <w:szCs w:val="20"/>
              </w:rPr>
              <w:t xml:space="preserve"> de 201</w:t>
            </w:r>
            <w:r w:rsidR="00396DD0">
              <w:rPr>
                <w:rFonts w:asciiTheme="minorHAnsi" w:hAnsiTheme="minorHAnsi"/>
                <w:b/>
                <w:sz w:val="20"/>
                <w:szCs w:val="20"/>
              </w:rPr>
              <w:t>8</w:t>
            </w:r>
          </w:p>
        </w:tc>
      </w:tr>
      <w:tr w:rsidR="005D12B2" w:rsidRPr="005D12B2" w:rsidTr="006C01C8">
        <w:trPr>
          <w:trHeight w:val="80"/>
          <w:jc w:val="center"/>
        </w:trPr>
        <w:tc>
          <w:tcPr>
            <w:tcW w:w="10708" w:type="dxa"/>
            <w:gridSpan w:val="3"/>
            <w:tcBorders>
              <w:top w:val="nil"/>
              <w:left w:val="single" w:sz="8" w:space="0" w:color="auto"/>
              <w:bottom w:val="single" w:sz="8" w:space="0" w:color="auto"/>
              <w:right w:val="single" w:sz="8" w:space="0" w:color="000000"/>
            </w:tcBorders>
            <w:shd w:val="clear" w:color="auto" w:fill="auto"/>
            <w:noWrap/>
            <w:vAlign w:val="bottom"/>
            <w:hideMark/>
          </w:tcPr>
          <w:p w:rsidR="005D12B2" w:rsidRPr="005D12B2" w:rsidRDefault="005D12B2" w:rsidP="005D12B2">
            <w:pPr>
              <w:jc w:val="center"/>
              <w:rPr>
                <w:rFonts w:ascii="Calibri" w:hAnsi="Calibri" w:cs="Calibri"/>
                <w:b/>
                <w:bCs/>
                <w:color w:val="000000"/>
                <w:sz w:val="20"/>
                <w:szCs w:val="20"/>
                <w:lang w:eastAsia="es-MX"/>
              </w:rPr>
            </w:pPr>
            <w:r w:rsidRPr="005D12B2">
              <w:rPr>
                <w:rFonts w:ascii="Calibri" w:hAnsi="Calibri" w:cs="Calibri"/>
                <w:b/>
                <w:bCs/>
                <w:color w:val="000000"/>
                <w:sz w:val="20"/>
                <w:szCs w:val="20"/>
                <w:lang w:eastAsia="es-MX"/>
              </w:rPr>
              <w:t>(Cifras en pesos)</w:t>
            </w:r>
          </w:p>
        </w:tc>
      </w:tr>
      <w:tr w:rsidR="005D12B2" w:rsidRPr="005D12B2" w:rsidTr="006C01C8">
        <w:trPr>
          <w:trHeight w:val="300"/>
          <w:jc w:val="center"/>
        </w:trPr>
        <w:tc>
          <w:tcPr>
            <w:tcW w:w="6788" w:type="dxa"/>
            <w:tcBorders>
              <w:top w:val="nil"/>
              <w:left w:val="single" w:sz="4" w:space="0" w:color="auto"/>
              <w:bottom w:val="single" w:sz="4" w:space="0" w:color="auto"/>
              <w:right w:val="single" w:sz="4" w:space="0" w:color="auto"/>
            </w:tcBorders>
            <w:shd w:val="clear" w:color="000000" w:fill="A5A5A5"/>
            <w:noWrap/>
            <w:vAlign w:val="bottom"/>
            <w:hideMark/>
          </w:tcPr>
          <w:p w:rsidR="005D12B2" w:rsidRPr="005D12B2" w:rsidRDefault="005D12B2" w:rsidP="005D12B2">
            <w:pPr>
              <w:jc w:val="both"/>
              <w:rPr>
                <w:rFonts w:ascii="Calibri" w:hAnsi="Calibri" w:cs="Calibri"/>
                <w:b/>
                <w:bCs/>
                <w:color w:val="000000"/>
                <w:sz w:val="20"/>
                <w:szCs w:val="20"/>
                <w:lang w:eastAsia="es-MX"/>
              </w:rPr>
            </w:pPr>
            <w:r w:rsidRPr="005D12B2">
              <w:rPr>
                <w:rFonts w:ascii="Calibri" w:hAnsi="Calibri" w:cs="Calibri"/>
                <w:b/>
                <w:bCs/>
                <w:color w:val="000000"/>
                <w:sz w:val="20"/>
                <w:szCs w:val="20"/>
                <w:lang w:eastAsia="es-MX"/>
              </w:rPr>
              <w:t>1. Ingresos Presupuestarios</w:t>
            </w:r>
          </w:p>
        </w:tc>
        <w:tc>
          <w:tcPr>
            <w:tcW w:w="1905" w:type="dxa"/>
            <w:tcBorders>
              <w:top w:val="nil"/>
              <w:left w:val="nil"/>
              <w:bottom w:val="single" w:sz="4" w:space="0" w:color="auto"/>
              <w:right w:val="single" w:sz="4" w:space="0" w:color="auto"/>
            </w:tcBorders>
            <w:shd w:val="clear" w:color="auto" w:fill="auto"/>
            <w:noWrap/>
            <w:vAlign w:val="center"/>
            <w:hideMark/>
          </w:tcPr>
          <w:p w:rsidR="005D12B2" w:rsidRPr="005D12B2" w:rsidRDefault="005D12B2" w:rsidP="005D12B2">
            <w:pPr>
              <w:jc w:val="right"/>
              <w:rPr>
                <w:rFonts w:ascii="Calibri" w:hAnsi="Calibri" w:cs="Calibri"/>
                <w:color w:val="000000"/>
                <w:sz w:val="20"/>
                <w:szCs w:val="20"/>
                <w:lang w:eastAsia="es-MX"/>
              </w:rPr>
            </w:pPr>
            <w:r w:rsidRPr="005D12B2">
              <w:rPr>
                <w:rFonts w:ascii="Calibri" w:hAnsi="Calibri" w:cs="Calibri"/>
                <w:color w:val="000000"/>
                <w:sz w:val="20"/>
                <w:szCs w:val="20"/>
                <w:lang w:eastAsia="es-MX"/>
              </w:rPr>
              <w:t> </w:t>
            </w:r>
          </w:p>
        </w:tc>
        <w:tc>
          <w:tcPr>
            <w:tcW w:w="2015" w:type="dxa"/>
            <w:tcBorders>
              <w:top w:val="nil"/>
              <w:left w:val="nil"/>
              <w:bottom w:val="single" w:sz="4" w:space="0" w:color="auto"/>
              <w:right w:val="single" w:sz="4" w:space="0" w:color="auto"/>
            </w:tcBorders>
            <w:shd w:val="clear" w:color="auto" w:fill="auto"/>
            <w:noWrap/>
            <w:vAlign w:val="center"/>
            <w:hideMark/>
          </w:tcPr>
          <w:p w:rsidR="005D12B2" w:rsidRPr="006D5644" w:rsidRDefault="006D5644" w:rsidP="001A300A">
            <w:pPr>
              <w:rPr>
                <w:rFonts w:ascii="Calibri" w:hAnsi="Calibri" w:cs="Calibri"/>
                <w:b/>
                <w:bCs/>
                <w:color w:val="000000"/>
                <w:sz w:val="20"/>
                <w:szCs w:val="20"/>
                <w:lang w:eastAsia="es-MX"/>
              </w:rPr>
            </w:pPr>
            <w:r w:rsidRPr="006D5644">
              <w:rPr>
                <w:rFonts w:asciiTheme="minorHAnsi" w:hAnsiTheme="minorHAnsi"/>
                <w:b/>
                <w:sz w:val="20"/>
                <w:szCs w:val="20"/>
              </w:rPr>
              <w:t xml:space="preserve">$ </w:t>
            </w:r>
            <w:r w:rsidR="004211AA">
              <w:rPr>
                <w:rFonts w:asciiTheme="minorHAnsi" w:hAnsiTheme="minorHAnsi"/>
                <w:b/>
                <w:sz w:val="20"/>
                <w:szCs w:val="20"/>
              </w:rPr>
              <w:t xml:space="preserve"> </w:t>
            </w:r>
            <w:r w:rsidR="000D76D2">
              <w:rPr>
                <w:rFonts w:asciiTheme="minorHAnsi" w:hAnsiTheme="minorHAnsi"/>
                <w:b/>
                <w:sz w:val="20"/>
                <w:szCs w:val="20"/>
              </w:rPr>
              <w:t xml:space="preserve">   </w:t>
            </w:r>
            <w:r w:rsidR="004211AA">
              <w:rPr>
                <w:rFonts w:asciiTheme="minorHAnsi" w:hAnsiTheme="minorHAnsi"/>
                <w:b/>
                <w:sz w:val="20"/>
                <w:szCs w:val="20"/>
              </w:rPr>
              <w:t xml:space="preserve">        </w:t>
            </w:r>
            <w:r w:rsidR="001A300A">
              <w:rPr>
                <w:rFonts w:asciiTheme="minorHAnsi" w:hAnsiTheme="minorHAnsi"/>
                <w:b/>
                <w:sz w:val="20"/>
                <w:szCs w:val="20"/>
              </w:rPr>
              <w:t>19,829,059.39</w:t>
            </w:r>
          </w:p>
        </w:tc>
      </w:tr>
      <w:tr w:rsidR="005D12B2" w:rsidRPr="005D12B2" w:rsidTr="006C01C8">
        <w:trPr>
          <w:trHeight w:val="300"/>
          <w:jc w:val="center"/>
        </w:trPr>
        <w:tc>
          <w:tcPr>
            <w:tcW w:w="67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12B2" w:rsidRPr="005D12B2" w:rsidRDefault="005D12B2" w:rsidP="005D12B2">
            <w:pPr>
              <w:jc w:val="both"/>
              <w:rPr>
                <w:rFonts w:ascii="Calibri" w:hAnsi="Calibri" w:cs="Calibri"/>
                <w:b/>
                <w:bCs/>
                <w:color w:val="000000"/>
                <w:sz w:val="20"/>
                <w:szCs w:val="20"/>
                <w:lang w:eastAsia="es-MX"/>
              </w:rPr>
            </w:pPr>
            <w:r w:rsidRPr="005D12B2">
              <w:rPr>
                <w:rFonts w:ascii="Calibri" w:hAnsi="Calibri" w:cs="Calibri"/>
                <w:b/>
                <w:bCs/>
                <w:color w:val="000000"/>
                <w:sz w:val="20"/>
                <w:szCs w:val="20"/>
                <w:lang w:eastAsia="es-MX"/>
              </w:rPr>
              <w:t>2. Más ingresos contables no presupuestarios</w:t>
            </w:r>
          </w:p>
        </w:tc>
        <w:tc>
          <w:tcPr>
            <w:tcW w:w="1905" w:type="dxa"/>
            <w:tcBorders>
              <w:top w:val="single" w:sz="4" w:space="0" w:color="auto"/>
              <w:left w:val="nil"/>
              <w:bottom w:val="single" w:sz="4" w:space="0" w:color="auto"/>
              <w:right w:val="single" w:sz="4" w:space="0" w:color="auto"/>
            </w:tcBorders>
            <w:shd w:val="clear" w:color="auto" w:fill="auto"/>
            <w:noWrap/>
            <w:vAlign w:val="center"/>
            <w:hideMark/>
          </w:tcPr>
          <w:p w:rsidR="005D12B2" w:rsidRPr="005D12B2" w:rsidRDefault="005D12B2" w:rsidP="005D12B2">
            <w:pPr>
              <w:jc w:val="right"/>
              <w:rPr>
                <w:rFonts w:ascii="Calibri" w:hAnsi="Calibri" w:cs="Calibri"/>
                <w:color w:val="000000"/>
                <w:sz w:val="20"/>
                <w:szCs w:val="20"/>
                <w:lang w:eastAsia="es-MX"/>
              </w:rPr>
            </w:pPr>
            <w:r w:rsidRPr="005D12B2">
              <w:rPr>
                <w:rFonts w:ascii="Calibri" w:hAnsi="Calibri" w:cs="Calibri"/>
                <w:color w:val="000000"/>
                <w:sz w:val="20"/>
                <w:szCs w:val="20"/>
                <w:lang w:eastAsia="es-MX"/>
              </w:rPr>
              <w:t> </w:t>
            </w:r>
          </w:p>
        </w:tc>
        <w:tc>
          <w:tcPr>
            <w:tcW w:w="2015" w:type="dxa"/>
            <w:tcBorders>
              <w:top w:val="single" w:sz="4" w:space="0" w:color="auto"/>
              <w:left w:val="nil"/>
              <w:bottom w:val="single" w:sz="4" w:space="0" w:color="auto"/>
              <w:right w:val="single" w:sz="4" w:space="0" w:color="auto"/>
            </w:tcBorders>
            <w:shd w:val="clear" w:color="auto" w:fill="auto"/>
            <w:noWrap/>
            <w:vAlign w:val="center"/>
            <w:hideMark/>
          </w:tcPr>
          <w:p w:rsidR="002262EF" w:rsidRPr="005D12B2" w:rsidRDefault="005D12B2" w:rsidP="001A300A">
            <w:pPr>
              <w:rPr>
                <w:rFonts w:ascii="Calibri" w:hAnsi="Calibri" w:cs="Calibri"/>
                <w:b/>
                <w:bCs/>
                <w:color w:val="000000"/>
                <w:sz w:val="20"/>
                <w:szCs w:val="20"/>
                <w:lang w:eastAsia="es-MX"/>
              </w:rPr>
            </w:pPr>
            <w:r w:rsidRPr="005D12B2">
              <w:rPr>
                <w:rFonts w:ascii="Calibri" w:hAnsi="Calibri" w:cs="Calibri"/>
                <w:b/>
                <w:bCs/>
                <w:color w:val="000000"/>
                <w:sz w:val="20"/>
                <w:szCs w:val="20"/>
                <w:lang w:eastAsia="es-MX"/>
              </w:rPr>
              <w:t xml:space="preserve">$          </w:t>
            </w:r>
            <w:r w:rsidR="004211AA">
              <w:rPr>
                <w:rFonts w:ascii="Calibri" w:hAnsi="Calibri" w:cs="Calibri"/>
                <w:b/>
                <w:bCs/>
                <w:color w:val="000000"/>
                <w:sz w:val="20"/>
                <w:szCs w:val="20"/>
                <w:lang w:eastAsia="es-MX"/>
              </w:rPr>
              <w:t xml:space="preserve">         </w:t>
            </w:r>
            <w:r w:rsidR="000D7808">
              <w:rPr>
                <w:rFonts w:ascii="Calibri" w:hAnsi="Calibri" w:cs="Calibri"/>
                <w:b/>
                <w:bCs/>
                <w:color w:val="000000"/>
                <w:sz w:val="20"/>
                <w:szCs w:val="20"/>
                <w:lang w:eastAsia="es-MX"/>
              </w:rPr>
              <w:t xml:space="preserve"> </w:t>
            </w:r>
            <w:r w:rsidR="000D76D2">
              <w:rPr>
                <w:rFonts w:ascii="Calibri" w:hAnsi="Calibri" w:cs="Calibri"/>
                <w:b/>
                <w:bCs/>
                <w:color w:val="000000"/>
                <w:sz w:val="20"/>
                <w:szCs w:val="20"/>
                <w:lang w:eastAsia="es-MX"/>
              </w:rPr>
              <w:t xml:space="preserve"> </w:t>
            </w:r>
            <w:r w:rsidR="001A300A">
              <w:rPr>
                <w:rFonts w:ascii="Calibri" w:hAnsi="Calibri" w:cs="Calibri"/>
                <w:b/>
                <w:bCs/>
                <w:color w:val="000000"/>
                <w:sz w:val="20"/>
                <w:szCs w:val="20"/>
                <w:lang w:eastAsia="es-MX"/>
              </w:rPr>
              <w:t>12,095.94</w:t>
            </w:r>
          </w:p>
        </w:tc>
      </w:tr>
      <w:tr w:rsidR="005D12B2" w:rsidRPr="005D12B2" w:rsidTr="006C01C8">
        <w:trPr>
          <w:trHeight w:val="300"/>
          <w:jc w:val="center"/>
        </w:trPr>
        <w:tc>
          <w:tcPr>
            <w:tcW w:w="6788" w:type="dxa"/>
            <w:tcBorders>
              <w:top w:val="nil"/>
              <w:left w:val="single" w:sz="4" w:space="0" w:color="auto"/>
              <w:bottom w:val="single" w:sz="4" w:space="0" w:color="auto"/>
              <w:right w:val="single" w:sz="4" w:space="0" w:color="auto"/>
            </w:tcBorders>
            <w:shd w:val="clear" w:color="auto" w:fill="auto"/>
            <w:noWrap/>
            <w:vAlign w:val="bottom"/>
            <w:hideMark/>
          </w:tcPr>
          <w:p w:rsidR="005D12B2" w:rsidRPr="005D12B2" w:rsidRDefault="005D12B2" w:rsidP="005D12B2">
            <w:pPr>
              <w:jc w:val="both"/>
              <w:rPr>
                <w:rFonts w:ascii="Calibri" w:hAnsi="Calibri" w:cs="Calibri"/>
                <w:color w:val="000000"/>
                <w:sz w:val="20"/>
                <w:szCs w:val="20"/>
                <w:lang w:eastAsia="es-MX"/>
              </w:rPr>
            </w:pPr>
            <w:r w:rsidRPr="005D12B2">
              <w:rPr>
                <w:rFonts w:ascii="Calibri" w:hAnsi="Calibri" w:cs="Calibri"/>
                <w:color w:val="000000"/>
                <w:sz w:val="20"/>
                <w:szCs w:val="20"/>
                <w:lang w:eastAsia="es-MX"/>
              </w:rPr>
              <w:t>Incremento por variación de inventarios</w:t>
            </w:r>
          </w:p>
        </w:tc>
        <w:tc>
          <w:tcPr>
            <w:tcW w:w="1905" w:type="dxa"/>
            <w:tcBorders>
              <w:top w:val="nil"/>
              <w:left w:val="nil"/>
              <w:bottom w:val="single" w:sz="4" w:space="0" w:color="auto"/>
              <w:right w:val="single" w:sz="4" w:space="0" w:color="auto"/>
            </w:tcBorders>
            <w:shd w:val="clear" w:color="auto" w:fill="auto"/>
            <w:noWrap/>
            <w:vAlign w:val="center"/>
            <w:hideMark/>
          </w:tcPr>
          <w:p w:rsidR="005D12B2" w:rsidRPr="005D12B2" w:rsidRDefault="005D12B2" w:rsidP="00E919E7">
            <w:pPr>
              <w:jc w:val="center"/>
              <w:rPr>
                <w:rFonts w:ascii="Calibri" w:hAnsi="Calibri" w:cs="Calibri"/>
                <w:b/>
                <w:bCs/>
                <w:color w:val="000000"/>
                <w:sz w:val="20"/>
                <w:szCs w:val="20"/>
                <w:lang w:eastAsia="es-MX"/>
              </w:rPr>
            </w:pPr>
          </w:p>
        </w:tc>
        <w:tc>
          <w:tcPr>
            <w:tcW w:w="2015" w:type="dxa"/>
            <w:tcBorders>
              <w:top w:val="nil"/>
              <w:left w:val="nil"/>
              <w:bottom w:val="single" w:sz="4" w:space="0" w:color="auto"/>
              <w:right w:val="single" w:sz="4" w:space="0" w:color="auto"/>
            </w:tcBorders>
            <w:shd w:val="clear" w:color="auto" w:fill="auto"/>
            <w:noWrap/>
            <w:vAlign w:val="center"/>
            <w:hideMark/>
          </w:tcPr>
          <w:p w:rsidR="005D12B2" w:rsidRPr="005D12B2" w:rsidRDefault="005D12B2" w:rsidP="005D12B2">
            <w:pPr>
              <w:jc w:val="right"/>
              <w:rPr>
                <w:rFonts w:ascii="Calibri" w:hAnsi="Calibri" w:cs="Calibri"/>
                <w:color w:val="000000"/>
                <w:sz w:val="20"/>
                <w:szCs w:val="20"/>
                <w:lang w:eastAsia="es-MX"/>
              </w:rPr>
            </w:pPr>
            <w:r w:rsidRPr="005D12B2">
              <w:rPr>
                <w:rFonts w:ascii="Calibri" w:hAnsi="Calibri" w:cs="Calibri"/>
                <w:color w:val="000000"/>
                <w:sz w:val="20"/>
                <w:szCs w:val="20"/>
                <w:lang w:eastAsia="es-MX"/>
              </w:rPr>
              <w:t> </w:t>
            </w:r>
          </w:p>
        </w:tc>
      </w:tr>
      <w:tr w:rsidR="005D12B2" w:rsidRPr="005D12B2" w:rsidTr="006C01C8">
        <w:trPr>
          <w:trHeight w:val="295"/>
          <w:jc w:val="center"/>
        </w:trPr>
        <w:tc>
          <w:tcPr>
            <w:tcW w:w="6788" w:type="dxa"/>
            <w:tcBorders>
              <w:top w:val="nil"/>
              <w:left w:val="single" w:sz="4" w:space="0" w:color="auto"/>
              <w:bottom w:val="single" w:sz="4" w:space="0" w:color="auto"/>
              <w:right w:val="single" w:sz="4" w:space="0" w:color="auto"/>
            </w:tcBorders>
            <w:shd w:val="clear" w:color="auto" w:fill="auto"/>
            <w:noWrap/>
            <w:vAlign w:val="bottom"/>
            <w:hideMark/>
          </w:tcPr>
          <w:p w:rsidR="005D12B2" w:rsidRPr="005D12B2" w:rsidRDefault="005D12B2" w:rsidP="005D12B2">
            <w:pPr>
              <w:jc w:val="both"/>
              <w:rPr>
                <w:rFonts w:ascii="Calibri" w:hAnsi="Calibri" w:cs="Calibri"/>
                <w:color w:val="000000"/>
                <w:sz w:val="20"/>
                <w:szCs w:val="20"/>
                <w:lang w:eastAsia="es-MX"/>
              </w:rPr>
            </w:pPr>
            <w:r w:rsidRPr="005D12B2">
              <w:rPr>
                <w:rFonts w:ascii="Calibri" w:hAnsi="Calibri" w:cs="Calibri"/>
                <w:color w:val="000000"/>
                <w:sz w:val="20"/>
                <w:szCs w:val="20"/>
                <w:lang w:eastAsia="es-MX"/>
              </w:rPr>
              <w:t>Disminución del exceso de estimaciones por pérdida o deterioro u obsolescencia</w:t>
            </w:r>
          </w:p>
        </w:tc>
        <w:tc>
          <w:tcPr>
            <w:tcW w:w="1905" w:type="dxa"/>
            <w:tcBorders>
              <w:top w:val="nil"/>
              <w:left w:val="nil"/>
              <w:bottom w:val="single" w:sz="4" w:space="0" w:color="auto"/>
              <w:right w:val="single" w:sz="4" w:space="0" w:color="auto"/>
            </w:tcBorders>
            <w:shd w:val="clear" w:color="auto" w:fill="auto"/>
            <w:noWrap/>
            <w:vAlign w:val="center"/>
            <w:hideMark/>
          </w:tcPr>
          <w:p w:rsidR="005D12B2" w:rsidRPr="005D12B2" w:rsidRDefault="005D12B2" w:rsidP="00E919E7">
            <w:pPr>
              <w:jc w:val="center"/>
              <w:rPr>
                <w:rFonts w:ascii="Calibri" w:hAnsi="Calibri" w:cs="Calibri"/>
                <w:b/>
                <w:bCs/>
                <w:color w:val="000000"/>
                <w:sz w:val="20"/>
                <w:szCs w:val="20"/>
                <w:lang w:eastAsia="es-MX"/>
              </w:rPr>
            </w:pPr>
          </w:p>
        </w:tc>
        <w:tc>
          <w:tcPr>
            <w:tcW w:w="2015" w:type="dxa"/>
            <w:tcBorders>
              <w:top w:val="nil"/>
              <w:left w:val="nil"/>
              <w:bottom w:val="single" w:sz="4" w:space="0" w:color="auto"/>
              <w:right w:val="single" w:sz="4" w:space="0" w:color="auto"/>
            </w:tcBorders>
            <w:shd w:val="clear" w:color="auto" w:fill="auto"/>
            <w:noWrap/>
            <w:vAlign w:val="center"/>
            <w:hideMark/>
          </w:tcPr>
          <w:p w:rsidR="005D12B2" w:rsidRPr="005D12B2" w:rsidRDefault="005D12B2" w:rsidP="005D12B2">
            <w:pPr>
              <w:jc w:val="right"/>
              <w:rPr>
                <w:rFonts w:ascii="Calibri" w:hAnsi="Calibri" w:cs="Calibri"/>
                <w:color w:val="000000"/>
                <w:sz w:val="20"/>
                <w:szCs w:val="20"/>
                <w:lang w:eastAsia="es-MX"/>
              </w:rPr>
            </w:pPr>
            <w:r w:rsidRPr="005D12B2">
              <w:rPr>
                <w:rFonts w:ascii="Calibri" w:hAnsi="Calibri" w:cs="Calibri"/>
                <w:color w:val="000000"/>
                <w:sz w:val="20"/>
                <w:szCs w:val="20"/>
                <w:lang w:eastAsia="es-MX"/>
              </w:rPr>
              <w:t> </w:t>
            </w:r>
          </w:p>
        </w:tc>
      </w:tr>
      <w:tr w:rsidR="005D12B2" w:rsidRPr="005D12B2" w:rsidTr="006C01C8">
        <w:trPr>
          <w:trHeight w:val="300"/>
          <w:jc w:val="center"/>
        </w:trPr>
        <w:tc>
          <w:tcPr>
            <w:tcW w:w="6788" w:type="dxa"/>
            <w:tcBorders>
              <w:top w:val="nil"/>
              <w:left w:val="single" w:sz="4" w:space="0" w:color="auto"/>
              <w:bottom w:val="single" w:sz="4" w:space="0" w:color="auto"/>
              <w:right w:val="single" w:sz="4" w:space="0" w:color="auto"/>
            </w:tcBorders>
            <w:shd w:val="clear" w:color="auto" w:fill="auto"/>
            <w:noWrap/>
            <w:vAlign w:val="bottom"/>
            <w:hideMark/>
          </w:tcPr>
          <w:p w:rsidR="005D12B2" w:rsidRPr="005D12B2" w:rsidRDefault="005D12B2" w:rsidP="005D12B2">
            <w:pPr>
              <w:jc w:val="both"/>
              <w:rPr>
                <w:rFonts w:ascii="Calibri" w:hAnsi="Calibri" w:cs="Calibri"/>
                <w:color w:val="000000"/>
                <w:sz w:val="20"/>
                <w:szCs w:val="20"/>
                <w:lang w:eastAsia="es-MX"/>
              </w:rPr>
            </w:pPr>
            <w:r w:rsidRPr="005D12B2">
              <w:rPr>
                <w:rFonts w:ascii="Calibri" w:hAnsi="Calibri" w:cs="Calibri"/>
                <w:color w:val="000000"/>
                <w:sz w:val="20"/>
                <w:szCs w:val="20"/>
                <w:lang w:eastAsia="es-MX"/>
              </w:rPr>
              <w:t>Disminución del exceso de provisiones</w:t>
            </w:r>
          </w:p>
        </w:tc>
        <w:tc>
          <w:tcPr>
            <w:tcW w:w="1905" w:type="dxa"/>
            <w:tcBorders>
              <w:top w:val="nil"/>
              <w:left w:val="nil"/>
              <w:bottom w:val="single" w:sz="4" w:space="0" w:color="auto"/>
              <w:right w:val="single" w:sz="4" w:space="0" w:color="auto"/>
            </w:tcBorders>
            <w:shd w:val="clear" w:color="auto" w:fill="auto"/>
            <w:noWrap/>
            <w:vAlign w:val="center"/>
            <w:hideMark/>
          </w:tcPr>
          <w:p w:rsidR="005D12B2" w:rsidRPr="005D12B2" w:rsidRDefault="005D12B2" w:rsidP="00E919E7">
            <w:pPr>
              <w:jc w:val="center"/>
              <w:rPr>
                <w:rFonts w:ascii="Calibri" w:hAnsi="Calibri" w:cs="Calibri"/>
                <w:b/>
                <w:bCs/>
                <w:color w:val="000000"/>
                <w:sz w:val="20"/>
                <w:szCs w:val="20"/>
                <w:lang w:eastAsia="es-MX"/>
              </w:rPr>
            </w:pPr>
          </w:p>
        </w:tc>
        <w:tc>
          <w:tcPr>
            <w:tcW w:w="2015" w:type="dxa"/>
            <w:tcBorders>
              <w:top w:val="nil"/>
              <w:left w:val="nil"/>
              <w:bottom w:val="single" w:sz="4" w:space="0" w:color="auto"/>
              <w:right w:val="single" w:sz="4" w:space="0" w:color="auto"/>
            </w:tcBorders>
            <w:shd w:val="clear" w:color="auto" w:fill="auto"/>
            <w:noWrap/>
            <w:vAlign w:val="center"/>
            <w:hideMark/>
          </w:tcPr>
          <w:p w:rsidR="005D12B2" w:rsidRPr="005D12B2" w:rsidRDefault="005D12B2" w:rsidP="005D12B2">
            <w:pPr>
              <w:jc w:val="right"/>
              <w:rPr>
                <w:rFonts w:ascii="Calibri" w:hAnsi="Calibri" w:cs="Calibri"/>
                <w:color w:val="000000"/>
                <w:sz w:val="20"/>
                <w:szCs w:val="20"/>
                <w:lang w:eastAsia="es-MX"/>
              </w:rPr>
            </w:pPr>
            <w:r w:rsidRPr="005D12B2">
              <w:rPr>
                <w:rFonts w:ascii="Calibri" w:hAnsi="Calibri" w:cs="Calibri"/>
                <w:color w:val="000000"/>
                <w:sz w:val="20"/>
                <w:szCs w:val="20"/>
                <w:lang w:eastAsia="es-MX"/>
              </w:rPr>
              <w:t> </w:t>
            </w:r>
          </w:p>
        </w:tc>
      </w:tr>
      <w:tr w:rsidR="00E919E7" w:rsidRPr="005D12B2" w:rsidTr="006C01C8">
        <w:trPr>
          <w:trHeight w:val="300"/>
          <w:jc w:val="center"/>
        </w:trPr>
        <w:tc>
          <w:tcPr>
            <w:tcW w:w="6788" w:type="dxa"/>
            <w:tcBorders>
              <w:top w:val="nil"/>
              <w:left w:val="single" w:sz="4" w:space="0" w:color="auto"/>
              <w:bottom w:val="single" w:sz="4" w:space="0" w:color="auto"/>
              <w:right w:val="single" w:sz="4" w:space="0" w:color="auto"/>
            </w:tcBorders>
            <w:shd w:val="clear" w:color="auto" w:fill="auto"/>
            <w:noWrap/>
            <w:vAlign w:val="bottom"/>
            <w:hideMark/>
          </w:tcPr>
          <w:p w:rsidR="00E919E7" w:rsidRPr="005D12B2" w:rsidRDefault="00E919E7" w:rsidP="005D12B2">
            <w:pPr>
              <w:jc w:val="both"/>
              <w:rPr>
                <w:rFonts w:ascii="Calibri" w:hAnsi="Calibri" w:cs="Calibri"/>
                <w:color w:val="000000"/>
                <w:sz w:val="20"/>
                <w:szCs w:val="20"/>
                <w:lang w:eastAsia="es-MX"/>
              </w:rPr>
            </w:pPr>
            <w:r w:rsidRPr="005D12B2">
              <w:rPr>
                <w:rFonts w:ascii="Calibri" w:hAnsi="Calibri" w:cs="Calibri"/>
                <w:color w:val="000000"/>
                <w:sz w:val="20"/>
                <w:szCs w:val="20"/>
                <w:lang w:eastAsia="es-MX"/>
              </w:rPr>
              <w:t>Otros ingresos y beneficios varios</w:t>
            </w:r>
          </w:p>
        </w:tc>
        <w:tc>
          <w:tcPr>
            <w:tcW w:w="1905" w:type="dxa"/>
            <w:tcBorders>
              <w:top w:val="nil"/>
              <w:left w:val="nil"/>
              <w:bottom w:val="single" w:sz="4" w:space="0" w:color="auto"/>
              <w:right w:val="single" w:sz="4" w:space="0" w:color="auto"/>
            </w:tcBorders>
            <w:shd w:val="clear" w:color="auto" w:fill="auto"/>
            <w:noWrap/>
            <w:vAlign w:val="bottom"/>
            <w:hideMark/>
          </w:tcPr>
          <w:p w:rsidR="00E919E7" w:rsidRDefault="00ED3905" w:rsidP="001A300A">
            <w:pPr>
              <w:rPr>
                <w:rFonts w:ascii="Calibri" w:hAnsi="Calibri" w:cs="Calibri"/>
                <w:color w:val="000000"/>
                <w:sz w:val="18"/>
                <w:szCs w:val="18"/>
              </w:rPr>
            </w:pPr>
            <w:r>
              <w:rPr>
                <w:rFonts w:ascii="Calibri" w:hAnsi="Calibri" w:cs="Calibri"/>
                <w:color w:val="000000"/>
                <w:sz w:val="18"/>
                <w:szCs w:val="18"/>
              </w:rPr>
              <w:t xml:space="preserve">$   </w:t>
            </w:r>
            <w:r w:rsidR="006C01C8">
              <w:rPr>
                <w:rFonts w:ascii="Calibri" w:hAnsi="Calibri" w:cs="Calibri"/>
                <w:color w:val="000000"/>
                <w:sz w:val="18"/>
                <w:szCs w:val="18"/>
              </w:rPr>
              <w:t xml:space="preserve">   </w:t>
            </w:r>
            <w:r>
              <w:rPr>
                <w:rFonts w:ascii="Calibri" w:hAnsi="Calibri" w:cs="Calibri"/>
                <w:color w:val="000000"/>
                <w:sz w:val="18"/>
                <w:szCs w:val="18"/>
              </w:rPr>
              <w:t xml:space="preserve">                 </w:t>
            </w:r>
            <w:r w:rsidR="000D7808">
              <w:rPr>
                <w:rFonts w:ascii="Calibri" w:hAnsi="Calibri" w:cs="Calibri"/>
                <w:color w:val="000000"/>
                <w:sz w:val="18"/>
                <w:szCs w:val="18"/>
              </w:rPr>
              <w:t xml:space="preserve">     </w:t>
            </w:r>
            <w:r w:rsidR="001A300A">
              <w:rPr>
                <w:rFonts w:ascii="Calibri" w:hAnsi="Calibri" w:cs="Calibri"/>
                <w:color w:val="000000"/>
                <w:sz w:val="18"/>
                <w:szCs w:val="18"/>
              </w:rPr>
              <w:t xml:space="preserve">   </w:t>
            </w:r>
            <w:r w:rsidR="000D7808">
              <w:rPr>
                <w:rFonts w:ascii="Calibri" w:hAnsi="Calibri" w:cs="Calibri"/>
                <w:color w:val="000000"/>
                <w:sz w:val="18"/>
                <w:szCs w:val="18"/>
              </w:rPr>
              <w:t xml:space="preserve">  </w:t>
            </w:r>
            <w:r w:rsidR="001A300A">
              <w:rPr>
                <w:rFonts w:ascii="Calibri" w:hAnsi="Calibri" w:cs="Calibri"/>
                <w:color w:val="000000"/>
                <w:sz w:val="18"/>
                <w:szCs w:val="18"/>
              </w:rPr>
              <w:t>6.64</w:t>
            </w:r>
          </w:p>
        </w:tc>
        <w:tc>
          <w:tcPr>
            <w:tcW w:w="2015" w:type="dxa"/>
            <w:tcBorders>
              <w:top w:val="nil"/>
              <w:left w:val="nil"/>
              <w:bottom w:val="single" w:sz="4" w:space="0" w:color="auto"/>
              <w:right w:val="single" w:sz="4" w:space="0" w:color="auto"/>
            </w:tcBorders>
            <w:shd w:val="clear" w:color="auto" w:fill="auto"/>
            <w:noWrap/>
            <w:vAlign w:val="center"/>
            <w:hideMark/>
          </w:tcPr>
          <w:p w:rsidR="00E919E7" w:rsidRPr="005D12B2" w:rsidRDefault="00E919E7" w:rsidP="005D12B2">
            <w:pPr>
              <w:jc w:val="right"/>
              <w:rPr>
                <w:rFonts w:ascii="Calibri" w:hAnsi="Calibri" w:cs="Calibri"/>
                <w:color w:val="000000"/>
                <w:sz w:val="20"/>
                <w:szCs w:val="20"/>
                <w:lang w:eastAsia="es-MX"/>
              </w:rPr>
            </w:pPr>
            <w:r w:rsidRPr="005D12B2">
              <w:rPr>
                <w:rFonts w:ascii="Calibri" w:hAnsi="Calibri" w:cs="Calibri"/>
                <w:color w:val="000000"/>
                <w:sz w:val="20"/>
                <w:szCs w:val="20"/>
                <w:lang w:eastAsia="es-MX"/>
              </w:rPr>
              <w:t> </w:t>
            </w:r>
          </w:p>
        </w:tc>
      </w:tr>
      <w:tr w:rsidR="00E919E7" w:rsidRPr="005D12B2" w:rsidTr="006C01C8">
        <w:trPr>
          <w:trHeight w:val="300"/>
          <w:jc w:val="center"/>
        </w:trPr>
        <w:tc>
          <w:tcPr>
            <w:tcW w:w="6788" w:type="dxa"/>
            <w:tcBorders>
              <w:top w:val="nil"/>
              <w:left w:val="single" w:sz="4" w:space="0" w:color="auto"/>
              <w:bottom w:val="single" w:sz="4" w:space="0" w:color="auto"/>
              <w:right w:val="single" w:sz="4" w:space="0" w:color="auto"/>
            </w:tcBorders>
            <w:shd w:val="clear" w:color="auto" w:fill="auto"/>
            <w:noWrap/>
            <w:vAlign w:val="bottom"/>
            <w:hideMark/>
          </w:tcPr>
          <w:p w:rsidR="00E919E7" w:rsidRPr="005D12B2" w:rsidRDefault="00E919E7" w:rsidP="005D12B2">
            <w:pPr>
              <w:jc w:val="both"/>
              <w:rPr>
                <w:rFonts w:ascii="Calibri" w:hAnsi="Calibri" w:cs="Calibri"/>
                <w:color w:val="000000"/>
                <w:sz w:val="20"/>
                <w:szCs w:val="20"/>
                <w:lang w:eastAsia="es-MX"/>
              </w:rPr>
            </w:pPr>
            <w:r w:rsidRPr="005D12B2">
              <w:rPr>
                <w:rFonts w:ascii="Calibri" w:hAnsi="Calibri" w:cs="Calibri"/>
                <w:color w:val="000000"/>
                <w:sz w:val="20"/>
                <w:szCs w:val="20"/>
                <w:lang w:eastAsia="es-MX"/>
              </w:rPr>
              <w:t>Otros ingresos contables no presupuestarios</w:t>
            </w:r>
          </w:p>
        </w:tc>
        <w:tc>
          <w:tcPr>
            <w:tcW w:w="1905" w:type="dxa"/>
            <w:tcBorders>
              <w:top w:val="nil"/>
              <w:left w:val="nil"/>
              <w:bottom w:val="single" w:sz="4" w:space="0" w:color="auto"/>
              <w:right w:val="single" w:sz="4" w:space="0" w:color="auto"/>
            </w:tcBorders>
            <w:shd w:val="clear" w:color="auto" w:fill="auto"/>
            <w:noWrap/>
            <w:vAlign w:val="bottom"/>
            <w:hideMark/>
          </w:tcPr>
          <w:p w:rsidR="00E919E7" w:rsidRDefault="00E919E7" w:rsidP="001A300A">
            <w:pPr>
              <w:rPr>
                <w:rFonts w:ascii="Calibri" w:hAnsi="Calibri" w:cs="Calibri"/>
                <w:color w:val="000000"/>
                <w:sz w:val="18"/>
                <w:szCs w:val="18"/>
              </w:rPr>
            </w:pPr>
            <w:r>
              <w:rPr>
                <w:rFonts w:ascii="Calibri" w:hAnsi="Calibri" w:cs="Calibri"/>
                <w:color w:val="000000"/>
                <w:sz w:val="18"/>
                <w:szCs w:val="18"/>
              </w:rPr>
              <w:t>$</w:t>
            </w:r>
            <w:r w:rsidR="006C01C8">
              <w:rPr>
                <w:rFonts w:ascii="Calibri" w:hAnsi="Calibri" w:cs="Calibri"/>
                <w:color w:val="000000"/>
                <w:sz w:val="18"/>
                <w:szCs w:val="18"/>
              </w:rPr>
              <w:t xml:space="preserve">  </w:t>
            </w:r>
            <w:r>
              <w:rPr>
                <w:rFonts w:ascii="Calibri" w:hAnsi="Calibri" w:cs="Calibri"/>
                <w:color w:val="000000"/>
                <w:sz w:val="18"/>
                <w:szCs w:val="18"/>
              </w:rPr>
              <w:t xml:space="preserve">   </w:t>
            </w:r>
            <w:r w:rsidR="00ED3905">
              <w:rPr>
                <w:rFonts w:ascii="Calibri" w:hAnsi="Calibri" w:cs="Calibri"/>
                <w:color w:val="000000"/>
                <w:sz w:val="18"/>
                <w:szCs w:val="18"/>
              </w:rPr>
              <w:t xml:space="preserve">          </w:t>
            </w:r>
            <w:r w:rsidR="000D7808">
              <w:rPr>
                <w:rFonts w:ascii="Calibri" w:hAnsi="Calibri" w:cs="Calibri"/>
                <w:color w:val="000000"/>
                <w:sz w:val="18"/>
                <w:szCs w:val="18"/>
              </w:rPr>
              <w:t xml:space="preserve">  </w:t>
            </w:r>
            <w:r w:rsidR="00ED3905">
              <w:rPr>
                <w:rFonts w:ascii="Calibri" w:hAnsi="Calibri" w:cs="Calibri"/>
                <w:color w:val="000000"/>
                <w:sz w:val="18"/>
                <w:szCs w:val="18"/>
              </w:rPr>
              <w:t xml:space="preserve"> </w:t>
            </w:r>
            <w:r w:rsidR="006C01C8">
              <w:rPr>
                <w:rFonts w:ascii="Calibri" w:hAnsi="Calibri" w:cs="Calibri"/>
                <w:color w:val="000000"/>
                <w:sz w:val="18"/>
                <w:szCs w:val="18"/>
              </w:rPr>
              <w:t xml:space="preserve">  </w:t>
            </w:r>
            <w:r w:rsidR="00ED3905">
              <w:rPr>
                <w:rFonts w:ascii="Calibri" w:hAnsi="Calibri" w:cs="Calibri"/>
                <w:color w:val="000000"/>
                <w:sz w:val="18"/>
                <w:szCs w:val="18"/>
              </w:rPr>
              <w:t xml:space="preserve">   </w:t>
            </w:r>
            <w:r w:rsidR="001A300A">
              <w:rPr>
                <w:rFonts w:ascii="Calibri" w:hAnsi="Calibri" w:cs="Calibri"/>
                <w:color w:val="000000"/>
                <w:sz w:val="18"/>
                <w:szCs w:val="18"/>
              </w:rPr>
              <w:t>12,089.30</w:t>
            </w:r>
            <w:r w:rsidR="000D7808">
              <w:rPr>
                <w:rFonts w:ascii="Calibri" w:hAnsi="Calibri" w:cs="Calibri"/>
                <w:color w:val="000000"/>
                <w:sz w:val="18"/>
                <w:szCs w:val="18"/>
              </w:rPr>
              <w:t xml:space="preserve"> </w:t>
            </w:r>
          </w:p>
        </w:tc>
        <w:tc>
          <w:tcPr>
            <w:tcW w:w="2015" w:type="dxa"/>
            <w:tcBorders>
              <w:top w:val="nil"/>
              <w:left w:val="nil"/>
              <w:bottom w:val="single" w:sz="4" w:space="0" w:color="auto"/>
              <w:right w:val="single" w:sz="4" w:space="0" w:color="auto"/>
            </w:tcBorders>
            <w:shd w:val="clear" w:color="auto" w:fill="auto"/>
            <w:noWrap/>
            <w:vAlign w:val="center"/>
            <w:hideMark/>
          </w:tcPr>
          <w:p w:rsidR="00E919E7" w:rsidRPr="005D12B2" w:rsidRDefault="00E919E7" w:rsidP="005D12B2">
            <w:pPr>
              <w:jc w:val="right"/>
              <w:rPr>
                <w:rFonts w:ascii="Calibri" w:hAnsi="Calibri" w:cs="Calibri"/>
                <w:color w:val="000000"/>
                <w:sz w:val="20"/>
                <w:szCs w:val="20"/>
                <w:lang w:eastAsia="es-MX"/>
              </w:rPr>
            </w:pPr>
            <w:r w:rsidRPr="005D12B2">
              <w:rPr>
                <w:rFonts w:ascii="Calibri" w:hAnsi="Calibri" w:cs="Calibri"/>
                <w:color w:val="000000"/>
                <w:sz w:val="20"/>
                <w:szCs w:val="20"/>
                <w:lang w:eastAsia="es-MX"/>
              </w:rPr>
              <w:t> </w:t>
            </w:r>
          </w:p>
        </w:tc>
      </w:tr>
      <w:tr w:rsidR="005D12B2" w:rsidRPr="005D12B2" w:rsidTr="006C01C8">
        <w:trPr>
          <w:trHeight w:val="300"/>
          <w:jc w:val="center"/>
        </w:trPr>
        <w:tc>
          <w:tcPr>
            <w:tcW w:w="67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12B2" w:rsidRPr="005D12B2" w:rsidRDefault="005D12B2" w:rsidP="005D12B2">
            <w:pPr>
              <w:jc w:val="both"/>
              <w:rPr>
                <w:rFonts w:ascii="Calibri" w:hAnsi="Calibri" w:cs="Calibri"/>
                <w:b/>
                <w:bCs/>
                <w:color w:val="000000"/>
                <w:sz w:val="20"/>
                <w:szCs w:val="20"/>
                <w:lang w:eastAsia="es-MX"/>
              </w:rPr>
            </w:pPr>
            <w:r w:rsidRPr="005D12B2">
              <w:rPr>
                <w:rFonts w:ascii="Calibri" w:hAnsi="Calibri" w:cs="Calibri"/>
                <w:b/>
                <w:bCs/>
                <w:color w:val="000000"/>
                <w:sz w:val="20"/>
                <w:szCs w:val="20"/>
                <w:lang w:eastAsia="es-MX"/>
              </w:rPr>
              <w:t>3. Menos ingresos presupuestarios no contables</w:t>
            </w:r>
          </w:p>
        </w:tc>
        <w:tc>
          <w:tcPr>
            <w:tcW w:w="1905" w:type="dxa"/>
            <w:tcBorders>
              <w:top w:val="single" w:sz="4" w:space="0" w:color="auto"/>
              <w:left w:val="nil"/>
              <w:bottom w:val="single" w:sz="4" w:space="0" w:color="auto"/>
              <w:right w:val="single" w:sz="4" w:space="0" w:color="auto"/>
            </w:tcBorders>
            <w:shd w:val="clear" w:color="auto" w:fill="auto"/>
            <w:noWrap/>
            <w:vAlign w:val="center"/>
            <w:hideMark/>
          </w:tcPr>
          <w:p w:rsidR="005D12B2" w:rsidRPr="005D12B2" w:rsidRDefault="005D12B2" w:rsidP="005D12B2">
            <w:pPr>
              <w:jc w:val="center"/>
              <w:rPr>
                <w:rFonts w:ascii="Calibri" w:hAnsi="Calibri" w:cs="Calibri"/>
                <w:color w:val="000000"/>
                <w:sz w:val="20"/>
                <w:szCs w:val="20"/>
                <w:lang w:eastAsia="es-MX"/>
              </w:rPr>
            </w:pPr>
            <w:r w:rsidRPr="005D12B2">
              <w:rPr>
                <w:rFonts w:ascii="Calibri" w:hAnsi="Calibri" w:cs="Calibri"/>
                <w:color w:val="000000"/>
                <w:sz w:val="20"/>
                <w:szCs w:val="20"/>
                <w:lang w:eastAsia="es-MX"/>
              </w:rPr>
              <w:t> </w:t>
            </w:r>
          </w:p>
        </w:tc>
        <w:tc>
          <w:tcPr>
            <w:tcW w:w="2015" w:type="dxa"/>
            <w:tcBorders>
              <w:top w:val="single" w:sz="4" w:space="0" w:color="auto"/>
              <w:left w:val="nil"/>
              <w:bottom w:val="single" w:sz="4" w:space="0" w:color="auto"/>
              <w:right w:val="single" w:sz="4" w:space="0" w:color="auto"/>
            </w:tcBorders>
            <w:shd w:val="clear" w:color="auto" w:fill="auto"/>
            <w:noWrap/>
            <w:vAlign w:val="center"/>
            <w:hideMark/>
          </w:tcPr>
          <w:p w:rsidR="005D12B2" w:rsidRPr="005D12B2" w:rsidRDefault="005D12B2" w:rsidP="006C01C8">
            <w:pPr>
              <w:rPr>
                <w:rFonts w:ascii="Calibri" w:hAnsi="Calibri" w:cs="Calibri"/>
                <w:b/>
                <w:bCs/>
                <w:color w:val="000000"/>
                <w:sz w:val="20"/>
                <w:szCs w:val="20"/>
                <w:lang w:eastAsia="es-MX"/>
              </w:rPr>
            </w:pPr>
            <w:r w:rsidRPr="005D12B2">
              <w:rPr>
                <w:rFonts w:ascii="Calibri" w:hAnsi="Calibri" w:cs="Calibri"/>
                <w:b/>
                <w:bCs/>
                <w:color w:val="000000"/>
                <w:sz w:val="20"/>
                <w:szCs w:val="20"/>
                <w:lang w:eastAsia="es-MX"/>
              </w:rPr>
              <w:t xml:space="preserve">$      </w:t>
            </w:r>
            <w:r w:rsidR="00C364FD">
              <w:rPr>
                <w:rFonts w:ascii="Calibri" w:hAnsi="Calibri" w:cs="Calibri"/>
                <w:b/>
                <w:bCs/>
                <w:color w:val="000000"/>
                <w:sz w:val="20"/>
                <w:szCs w:val="20"/>
                <w:lang w:eastAsia="es-MX"/>
              </w:rPr>
              <w:t xml:space="preserve">           174, 071.39</w:t>
            </w:r>
            <w:r w:rsidRPr="005D12B2">
              <w:rPr>
                <w:rFonts w:ascii="Calibri" w:hAnsi="Calibri" w:cs="Calibri"/>
                <w:b/>
                <w:bCs/>
                <w:color w:val="000000"/>
                <w:sz w:val="20"/>
                <w:szCs w:val="20"/>
                <w:lang w:eastAsia="es-MX"/>
              </w:rPr>
              <w:t xml:space="preserve">           </w:t>
            </w:r>
            <w:r w:rsidR="006C01C8">
              <w:rPr>
                <w:rFonts w:ascii="Calibri" w:hAnsi="Calibri" w:cs="Calibri"/>
                <w:b/>
                <w:bCs/>
                <w:color w:val="000000"/>
                <w:sz w:val="20"/>
                <w:szCs w:val="20"/>
                <w:lang w:eastAsia="es-MX"/>
              </w:rPr>
              <w:t xml:space="preserve">                   </w:t>
            </w:r>
            <w:r w:rsidRPr="005D12B2">
              <w:rPr>
                <w:rFonts w:ascii="Calibri" w:hAnsi="Calibri" w:cs="Calibri"/>
                <w:b/>
                <w:bCs/>
                <w:color w:val="000000"/>
                <w:sz w:val="20"/>
                <w:szCs w:val="20"/>
                <w:lang w:eastAsia="es-MX"/>
              </w:rPr>
              <w:t xml:space="preserve">  </w:t>
            </w:r>
          </w:p>
        </w:tc>
      </w:tr>
      <w:tr w:rsidR="005D12B2" w:rsidRPr="005D12B2" w:rsidTr="006C01C8">
        <w:trPr>
          <w:trHeight w:val="300"/>
          <w:jc w:val="center"/>
        </w:trPr>
        <w:tc>
          <w:tcPr>
            <w:tcW w:w="6788" w:type="dxa"/>
            <w:tcBorders>
              <w:top w:val="nil"/>
              <w:left w:val="single" w:sz="4" w:space="0" w:color="auto"/>
              <w:bottom w:val="single" w:sz="4" w:space="0" w:color="auto"/>
              <w:right w:val="single" w:sz="4" w:space="0" w:color="auto"/>
            </w:tcBorders>
            <w:shd w:val="clear" w:color="auto" w:fill="auto"/>
            <w:noWrap/>
            <w:vAlign w:val="bottom"/>
            <w:hideMark/>
          </w:tcPr>
          <w:p w:rsidR="005D12B2" w:rsidRPr="005D12B2" w:rsidRDefault="005D12B2" w:rsidP="005D12B2">
            <w:pPr>
              <w:jc w:val="both"/>
              <w:rPr>
                <w:rFonts w:ascii="Calibri" w:hAnsi="Calibri" w:cs="Calibri"/>
                <w:color w:val="000000"/>
                <w:sz w:val="20"/>
                <w:szCs w:val="20"/>
                <w:lang w:eastAsia="es-MX"/>
              </w:rPr>
            </w:pPr>
            <w:r w:rsidRPr="005D12B2">
              <w:rPr>
                <w:rFonts w:ascii="Calibri" w:hAnsi="Calibri" w:cs="Calibri"/>
                <w:color w:val="000000"/>
                <w:sz w:val="20"/>
                <w:szCs w:val="20"/>
                <w:lang w:eastAsia="es-MX"/>
              </w:rPr>
              <w:t>Productos de capital</w:t>
            </w:r>
          </w:p>
        </w:tc>
        <w:tc>
          <w:tcPr>
            <w:tcW w:w="1905" w:type="dxa"/>
            <w:tcBorders>
              <w:top w:val="nil"/>
              <w:left w:val="nil"/>
              <w:bottom w:val="single" w:sz="4" w:space="0" w:color="auto"/>
              <w:right w:val="single" w:sz="4" w:space="0" w:color="auto"/>
            </w:tcBorders>
            <w:shd w:val="clear" w:color="auto" w:fill="auto"/>
            <w:noWrap/>
            <w:vAlign w:val="center"/>
            <w:hideMark/>
          </w:tcPr>
          <w:p w:rsidR="005D12B2" w:rsidRPr="00C364FD" w:rsidRDefault="00C364FD" w:rsidP="00C364FD">
            <w:pPr>
              <w:rPr>
                <w:rFonts w:ascii="Calibri" w:hAnsi="Calibri" w:cs="Calibri"/>
                <w:bCs/>
                <w:color w:val="000000"/>
                <w:sz w:val="20"/>
                <w:szCs w:val="20"/>
                <w:lang w:eastAsia="es-MX"/>
              </w:rPr>
            </w:pPr>
            <w:r>
              <w:rPr>
                <w:rFonts w:ascii="Calibri" w:hAnsi="Calibri" w:cs="Calibri"/>
                <w:bCs/>
                <w:color w:val="000000"/>
                <w:sz w:val="20"/>
                <w:szCs w:val="20"/>
                <w:lang w:eastAsia="es-MX"/>
              </w:rPr>
              <w:t>$                174,</w:t>
            </w:r>
            <w:r w:rsidRPr="00C364FD">
              <w:rPr>
                <w:rFonts w:ascii="Calibri" w:hAnsi="Calibri" w:cs="Calibri"/>
                <w:bCs/>
                <w:color w:val="000000"/>
                <w:sz w:val="20"/>
                <w:szCs w:val="20"/>
                <w:lang w:eastAsia="es-MX"/>
              </w:rPr>
              <w:t xml:space="preserve">071.39                                </w:t>
            </w:r>
          </w:p>
        </w:tc>
        <w:tc>
          <w:tcPr>
            <w:tcW w:w="2015" w:type="dxa"/>
            <w:tcBorders>
              <w:top w:val="nil"/>
              <w:left w:val="nil"/>
              <w:bottom w:val="single" w:sz="4" w:space="0" w:color="auto"/>
              <w:right w:val="single" w:sz="4" w:space="0" w:color="auto"/>
            </w:tcBorders>
            <w:shd w:val="clear" w:color="auto" w:fill="auto"/>
            <w:noWrap/>
            <w:vAlign w:val="center"/>
            <w:hideMark/>
          </w:tcPr>
          <w:p w:rsidR="005D12B2" w:rsidRPr="005D12B2" w:rsidRDefault="005D12B2" w:rsidP="005D12B2">
            <w:pPr>
              <w:jc w:val="right"/>
              <w:rPr>
                <w:rFonts w:ascii="Calibri" w:hAnsi="Calibri" w:cs="Calibri"/>
                <w:color w:val="000000"/>
                <w:sz w:val="20"/>
                <w:szCs w:val="20"/>
                <w:lang w:eastAsia="es-MX"/>
              </w:rPr>
            </w:pPr>
            <w:r w:rsidRPr="005D12B2">
              <w:rPr>
                <w:rFonts w:ascii="Calibri" w:hAnsi="Calibri" w:cs="Calibri"/>
                <w:color w:val="000000"/>
                <w:sz w:val="20"/>
                <w:szCs w:val="20"/>
                <w:lang w:eastAsia="es-MX"/>
              </w:rPr>
              <w:t> </w:t>
            </w:r>
          </w:p>
        </w:tc>
      </w:tr>
      <w:tr w:rsidR="005D12B2" w:rsidRPr="005D12B2" w:rsidTr="006C01C8">
        <w:trPr>
          <w:trHeight w:val="300"/>
          <w:jc w:val="center"/>
        </w:trPr>
        <w:tc>
          <w:tcPr>
            <w:tcW w:w="6788" w:type="dxa"/>
            <w:tcBorders>
              <w:top w:val="nil"/>
              <w:left w:val="single" w:sz="4" w:space="0" w:color="auto"/>
              <w:bottom w:val="single" w:sz="4" w:space="0" w:color="auto"/>
              <w:right w:val="single" w:sz="4" w:space="0" w:color="auto"/>
            </w:tcBorders>
            <w:shd w:val="clear" w:color="auto" w:fill="auto"/>
            <w:noWrap/>
            <w:vAlign w:val="bottom"/>
            <w:hideMark/>
          </w:tcPr>
          <w:p w:rsidR="005D12B2" w:rsidRPr="005D12B2" w:rsidRDefault="005D12B2" w:rsidP="005D12B2">
            <w:pPr>
              <w:jc w:val="both"/>
              <w:rPr>
                <w:rFonts w:ascii="Calibri" w:hAnsi="Calibri" w:cs="Calibri"/>
                <w:color w:val="000000"/>
                <w:sz w:val="20"/>
                <w:szCs w:val="20"/>
                <w:lang w:eastAsia="es-MX"/>
              </w:rPr>
            </w:pPr>
            <w:r w:rsidRPr="005D12B2">
              <w:rPr>
                <w:rFonts w:ascii="Calibri" w:hAnsi="Calibri" w:cs="Calibri"/>
                <w:color w:val="000000"/>
                <w:sz w:val="20"/>
                <w:szCs w:val="20"/>
                <w:lang w:eastAsia="es-MX"/>
              </w:rPr>
              <w:t>Aprovechamientos capital</w:t>
            </w:r>
          </w:p>
        </w:tc>
        <w:tc>
          <w:tcPr>
            <w:tcW w:w="1905" w:type="dxa"/>
            <w:tcBorders>
              <w:top w:val="nil"/>
              <w:left w:val="nil"/>
              <w:bottom w:val="single" w:sz="4" w:space="0" w:color="auto"/>
              <w:right w:val="single" w:sz="4" w:space="0" w:color="auto"/>
            </w:tcBorders>
            <w:shd w:val="clear" w:color="auto" w:fill="auto"/>
            <w:noWrap/>
            <w:vAlign w:val="center"/>
            <w:hideMark/>
          </w:tcPr>
          <w:p w:rsidR="005D12B2" w:rsidRPr="005D12B2" w:rsidRDefault="005D12B2" w:rsidP="00E919E7">
            <w:pPr>
              <w:jc w:val="center"/>
              <w:rPr>
                <w:rFonts w:ascii="Calibri" w:hAnsi="Calibri" w:cs="Calibri"/>
                <w:b/>
                <w:bCs/>
                <w:color w:val="000000"/>
                <w:sz w:val="20"/>
                <w:szCs w:val="20"/>
                <w:lang w:eastAsia="es-MX"/>
              </w:rPr>
            </w:pPr>
          </w:p>
        </w:tc>
        <w:tc>
          <w:tcPr>
            <w:tcW w:w="2015" w:type="dxa"/>
            <w:tcBorders>
              <w:top w:val="nil"/>
              <w:left w:val="nil"/>
              <w:bottom w:val="single" w:sz="4" w:space="0" w:color="auto"/>
              <w:right w:val="single" w:sz="4" w:space="0" w:color="auto"/>
            </w:tcBorders>
            <w:shd w:val="clear" w:color="auto" w:fill="auto"/>
            <w:noWrap/>
            <w:vAlign w:val="center"/>
            <w:hideMark/>
          </w:tcPr>
          <w:p w:rsidR="005D12B2" w:rsidRPr="005D12B2" w:rsidRDefault="005D12B2" w:rsidP="005D12B2">
            <w:pPr>
              <w:jc w:val="right"/>
              <w:rPr>
                <w:rFonts w:ascii="Calibri" w:hAnsi="Calibri" w:cs="Calibri"/>
                <w:color w:val="000000"/>
                <w:sz w:val="20"/>
                <w:szCs w:val="20"/>
                <w:lang w:eastAsia="es-MX"/>
              </w:rPr>
            </w:pPr>
            <w:r w:rsidRPr="005D12B2">
              <w:rPr>
                <w:rFonts w:ascii="Calibri" w:hAnsi="Calibri" w:cs="Calibri"/>
                <w:color w:val="000000"/>
                <w:sz w:val="20"/>
                <w:szCs w:val="20"/>
                <w:lang w:eastAsia="es-MX"/>
              </w:rPr>
              <w:t> </w:t>
            </w:r>
          </w:p>
        </w:tc>
      </w:tr>
      <w:tr w:rsidR="005D12B2" w:rsidRPr="005D12B2" w:rsidTr="006C01C8">
        <w:trPr>
          <w:trHeight w:val="300"/>
          <w:jc w:val="center"/>
        </w:trPr>
        <w:tc>
          <w:tcPr>
            <w:tcW w:w="6788" w:type="dxa"/>
            <w:tcBorders>
              <w:top w:val="nil"/>
              <w:left w:val="single" w:sz="4" w:space="0" w:color="auto"/>
              <w:bottom w:val="single" w:sz="4" w:space="0" w:color="auto"/>
              <w:right w:val="single" w:sz="4" w:space="0" w:color="auto"/>
            </w:tcBorders>
            <w:shd w:val="clear" w:color="auto" w:fill="auto"/>
            <w:noWrap/>
            <w:vAlign w:val="bottom"/>
            <w:hideMark/>
          </w:tcPr>
          <w:p w:rsidR="005D12B2" w:rsidRPr="005D12B2" w:rsidRDefault="005D12B2" w:rsidP="005D12B2">
            <w:pPr>
              <w:jc w:val="both"/>
              <w:rPr>
                <w:rFonts w:ascii="Calibri" w:hAnsi="Calibri" w:cs="Calibri"/>
                <w:color w:val="000000"/>
                <w:sz w:val="20"/>
                <w:szCs w:val="20"/>
                <w:lang w:eastAsia="es-MX"/>
              </w:rPr>
            </w:pPr>
            <w:r w:rsidRPr="005D12B2">
              <w:rPr>
                <w:rFonts w:ascii="Calibri" w:hAnsi="Calibri" w:cs="Calibri"/>
                <w:color w:val="000000"/>
                <w:sz w:val="20"/>
                <w:szCs w:val="20"/>
                <w:lang w:eastAsia="es-MX"/>
              </w:rPr>
              <w:t>Ingresos derivados de financiamientos</w:t>
            </w:r>
          </w:p>
        </w:tc>
        <w:tc>
          <w:tcPr>
            <w:tcW w:w="1905" w:type="dxa"/>
            <w:tcBorders>
              <w:top w:val="nil"/>
              <w:left w:val="nil"/>
              <w:bottom w:val="single" w:sz="4" w:space="0" w:color="auto"/>
              <w:right w:val="single" w:sz="4" w:space="0" w:color="auto"/>
            </w:tcBorders>
            <w:shd w:val="clear" w:color="auto" w:fill="auto"/>
            <w:noWrap/>
            <w:vAlign w:val="center"/>
            <w:hideMark/>
          </w:tcPr>
          <w:p w:rsidR="005D12B2" w:rsidRPr="005D12B2" w:rsidRDefault="005D12B2" w:rsidP="00E919E7">
            <w:pPr>
              <w:jc w:val="center"/>
              <w:rPr>
                <w:rFonts w:ascii="Calibri" w:hAnsi="Calibri" w:cs="Calibri"/>
                <w:b/>
                <w:bCs/>
                <w:color w:val="000000"/>
                <w:sz w:val="20"/>
                <w:szCs w:val="20"/>
                <w:lang w:eastAsia="es-MX"/>
              </w:rPr>
            </w:pPr>
          </w:p>
        </w:tc>
        <w:tc>
          <w:tcPr>
            <w:tcW w:w="2015" w:type="dxa"/>
            <w:tcBorders>
              <w:top w:val="nil"/>
              <w:left w:val="nil"/>
              <w:bottom w:val="single" w:sz="4" w:space="0" w:color="auto"/>
              <w:right w:val="single" w:sz="4" w:space="0" w:color="auto"/>
            </w:tcBorders>
            <w:shd w:val="clear" w:color="auto" w:fill="auto"/>
            <w:noWrap/>
            <w:vAlign w:val="center"/>
            <w:hideMark/>
          </w:tcPr>
          <w:p w:rsidR="005D12B2" w:rsidRPr="005D12B2" w:rsidRDefault="005D12B2" w:rsidP="005D12B2">
            <w:pPr>
              <w:jc w:val="right"/>
              <w:rPr>
                <w:rFonts w:ascii="Calibri" w:hAnsi="Calibri" w:cs="Calibri"/>
                <w:color w:val="000000"/>
                <w:sz w:val="20"/>
                <w:szCs w:val="20"/>
                <w:lang w:eastAsia="es-MX"/>
              </w:rPr>
            </w:pPr>
            <w:r w:rsidRPr="005D12B2">
              <w:rPr>
                <w:rFonts w:ascii="Calibri" w:hAnsi="Calibri" w:cs="Calibri"/>
                <w:color w:val="000000"/>
                <w:sz w:val="20"/>
                <w:szCs w:val="20"/>
                <w:lang w:eastAsia="es-MX"/>
              </w:rPr>
              <w:t> </w:t>
            </w:r>
          </w:p>
        </w:tc>
      </w:tr>
      <w:tr w:rsidR="005D12B2" w:rsidRPr="005D12B2" w:rsidTr="006C01C8">
        <w:trPr>
          <w:trHeight w:val="300"/>
          <w:jc w:val="center"/>
        </w:trPr>
        <w:tc>
          <w:tcPr>
            <w:tcW w:w="6788" w:type="dxa"/>
            <w:tcBorders>
              <w:top w:val="nil"/>
              <w:left w:val="single" w:sz="4" w:space="0" w:color="auto"/>
              <w:bottom w:val="single" w:sz="4" w:space="0" w:color="auto"/>
              <w:right w:val="single" w:sz="4" w:space="0" w:color="auto"/>
            </w:tcBorders>
            <w:shd w:val="clear" w:color="auto" w:fill="auto"/>
            <w:noWrap/>
            <w:vAlign w:val="bottom"/>
            <w:hideMark/>
          </w:tcPr>
          <w:p w:rsidR="005D12B2" w:rsidRPr="005D12B2" w:rsidRDefault="005D12B2" w:rsidP="005D12B2">
            <w:pPr>
              <w:jc w:val="both"/>
              <w:rPr>
                <w:rFonts w:ascii="Calibri" w:hAnsi="Calibri" w:cs="Calibri"/>
                <w:color w:val="000000"/>
                <w:sz w:val="20"/>
                <w:szCs w:val="20"/>
                <w:lang w:eastAsia="es-MX"/>
              </w:rPr>
            </w:pPr>
            <w:r w:rsidRPr="005D12B2">
              <w:rPr>
                <w:rFonts w:ascii="Calibri" w:hAnsi="Calibri" w:cs="Calibri"/>
                <w:color w:val="000000"/>
                <w:sz w:val="20"/>
                <w:szCs w:val="20"/>
                <w:lang w:eastAsia="es-MX"/>
              </w:rPr>
              <w:t>Otros Ingresos presupuestarios no contables</w:t>
            </w:r>
          </w:p>
        </w:tc>
        <w:tc>
          <w:tcPr>
            <w:tcW w:w="1905" w:type="dxa"/>
            <w:tcBorders>
              <w:top w:val="nil"/>
              <w:left w:val="nil"/>
              <w:bottom w:val="single" w:sz="4" w:space="0" w:color="auto"/>
              <w:right w:val="single" w:sz="4" w:space="0" w:color="auto"/>
            </w:tcBorders>
            <w:shd w:val="clear" w:color="auto" w:fill="auto"/>
            <w:noWrap/>
            <w:vAlign w:val="center"/>
            <w:hideMark/>
          </w:tcPr>
          <w:p w:rsidR="005D12B2" w:rsidRPr="005D12B2" w:rsidRDefault="005D12B2" w:rsidP="005D12B2">
            <w:pPr>
              <w:jc w:val="center"/>
              <w:rPr>
                <w:rFonts w:ascii="Calibri" w:hAnsi="Calibri" w:cs="Calibri"/>
                <w:b/>
                <w:bCs/>
                <w:color w:val="000000"/>
                <w:sz w:val="20"/>
                <w:szCs w:val="20"/>
                <w:lang w:eastAsia="es-MX"/>
              </w:rPr>
            </w:pPr>
          </w:p>
        </w:tc>
        <w:tc>
          <w:tcPr>
            <w:tcW w:w="2015" w:type="dxa"/>
            <w:tcBorders>
              <w:top w:val="nil"/>
              <w:left w:val="nil"/>
              <w:bottom w:val="single" w:sz="4" w:space="0" w:color="auto"/>
              <w:right w:val="single" w:sz="4" w:space="0" w:color="auto"/>
            </w:tcBorders>
            <w:shd w:val="clear" w:color="auto" w:fill="auto"/>
            <w:noWrap/>
            <w:vAlign w:val="center"/>
            <w:hideMark/>
          </w:tcPr>
          <w:p w:rsidR="005D12B2" w:rsidRPr="005D12B2" w:rsidRDefault="005D12B2" w:rsidP="005D12B2">
            <w:pPr>
              <w:jc w:val="right"/>
              <w:rPr>
                <w:rFonts w:ascii="Calibri" w:hAnsi="Calibri" w:cs="Calibri"/>
                <w:color w:val="000000"/>
                <w:sz w:val="20"/>
                <w:szCs w:val="20"/>
                <w:lang w:eastAsia="es-MX"/>
              </w:rPr>
            </w:pPr>
            <w:r w:rsidRPr="005D12B2">
              <w:rPr>
                <w:rFonts w:ascii="Calibri" w:hAnsi="Calibri" w:cs="Calibri"/>
                <w:color w:val="000000"/>
                <w:sz w:val="20"/>
                <w:szCs w:val="20"/>
                <w:lang w:eastAsia="es-MX"/>
              </w:rPr>
              <w:t> </w:t>
            </w:r>
          </w:p>
        </w:tc>
      </w:tr>
      <w:tr w:rsidR="005D12B2" w:rsidRPr="005D12B2" w:rsidTr="006C01C8">
        <w:trPr>
          <w:trHeight w:val="183"/>
          <w:jc w:val="center"/>
        </w:trPr>
        <w:tc>
          <w:tcPr>
            <w:tcW w:w="6788" w:type="dxa"/>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5D12B2" w:rsidRPr="005D12B2" w:rsidRDefault="005D12B2" w:rsidP="005D12B2">
            <w:pPr>
              <w:jc w:val="both"/>
              <w:rPr>
                <w:rFonts w:ascii="Calibri" w:hAnsi="Calibri" w:cs="Calibri"/>
                <w:b/>
                <w:bCs/>
                <w:color w:val="000000"/>
                <w:sz w:val="20"/>
                <w:szCs w:val="20"/>
                <w:lang w:eastAsia="es-MX"/>
              </w:rPr>
            </w:pPr>
            <w:r w:rsidRPr="005D12B2">
              <w:rPr>
                <w:rFonts w:ascii="Calibri" w:hAnsi="Calibri" w:cs="Calibri"/>
                <w:b/>
                <w:bCs/>
                <w:color w:val="000000"/>
                <w:sz w:val="20"/>
                <w:szCs w:val="20"/>
                <w:lang w:eastAsia="es-MX"/>
              </w:rPr>
              <w:t>4. Ingresos Contables (4 = 1 + 2 - 3)</w:t>
            </w:r>
          </w:p>
        </w:tc>
        <w:tc>
          <w:tcPr>
            <w:tcW w:w="1905" w:type="dxa"/>
            <w:tcBorders>
              <w:top w:val="single" w:sz="4" w:space="0" w:color="auto"/>
              <w:left w:val="nil"/>
              <w:bottom w:val="single" w:sz="4" w:space="0" w:color="auto"/>
              <w:right w:val="single" w:sz="4" w:space="0" w:color="auto"/>
            </w:tcBorders>
            <w:shd w:val="clear" w:color="auto" w:fill="auto"/>
            <w:noWrap/>
            <w:vAlign w:val="center"/>
            <w:hideMark/>
          </w:tcPr>
          <w:p w:rsidR="005D12B2" w:rsidRPr="005D12B2" w:rsidRDefault="005D12B2" w:rsidP="005D12B2">
            <w:pPr>
              <w:jc w:val="right"/>
              <w:rPr>
                <w:rFonts w:ascii="Calibri" w:hAnsi="Calibri" w:cs="Calibri"/>
                <w:color w:val="000000"/>
                <w:sz w:val="20"/>
                <w:szCs w:val="20"/>
                <w:lang w:eastAsia="es-MX"/>
              </w:rPr>
            </w:pPr>
            <w:r w:rsidRPr="005D12B2">
              <w:rPr>
                <w:rFonts w:ascii="Calibri" w:hAnsi="Calibri" w:cs="Calibri"/>
                <w:color w:val="000000"/>
                <w:sz w:val="20"/>
                <w:szCs w:val="20"/>
                <w:lang w:eastAsia="es-MX"/>
              </w:rPr>
              <w:t> </w:t>
            </w:r>
          </w:p>
        </w:tc>
        <w:tc>
          <w:tcPr>
            <w:tcW w:w="2015" w:type="dxa"/>
            <w:tcBorders>
              <w:top w:val="single" w:sz="4" w:space="0" w:color="auto"/>
              <w:left w:val="nil"/>
              <w:bottom w:val="single" w:sz="4" w:space="0" w:color="auto"/>
              <w:right w:val="single" w:sz="4" w:space="0" w:color="auto"/>
            </w:tcBorders>
            <w:shd w:val="clear" w:color="auto" w:fill="auto"/>
            <w:noWrap/>
            <w:vAlign w:val="center"/>
            <w:hideMark/>
          </w:tcPr>
          <w:p w:rsidR="005D12B2" w:rsidRPr="005D12B2" w:rsidRDefault="004E5703" w:rsidP="001A300A">
            <w:pPr>
              <w:rPr>
                <w:rFonts w:ascii="Calibri" w:hAnsi="Calibri" w:cs="Calibri"/>
                <w:b/>
                <w:bCs/>
                <w:color w:val="000000"/>
                <w:sz w:val="20"/>
                <w:szCs w:val="20"/>
                <w:lang w:eastAsia="es-MX"/>
              </w:rPr>
            </w:pPr>
            <w:r>
              <w:rPr>
                <w:rFonts w:ascii="Calibri" w:hAnsi="Calibri" w:cs="Calibri"/>
                <w:b/>
                <w:bCs/>
                <w:color w:val="000000"/>
                <w:sz w:val="20"/>
                <w:szCs w:val="20"/>
                <w:lang w:eastAsia="es-MX"/>
              </w:rPr>
              <w:t xml:space="preserve">$ </w:t>
            </w:r>
            <w:r w:rsidR="00E63AC0">
              <w:rPr>
                <w:rFonts w:ascii="Calibri" w:hAnsi="Calibri" w:cs="Calibri"/>
                <w:b/>
                <w:bCs/>
                <w:color w:val="000000"/>
                <w:sz w:val="20"/>
                <w:szCs w:val="20"/>
                <w:lang w:eastAsia="es-MX"/>
              </w:rPr>
              <w:t xml:space="preserve"> </w:t>
            </w:r>
            <w:r>
              <w:rPr>
                <w:rFonts w:ascii="Calibri" w:hAnsi="Calibri" w:cs="Calibri"/>
                <w:b/>
                <w:bCs/>
                <w:color w:val="000000"/>
                <w:sz w:val="20"/>
                <w:szCs w:val="20"/>
                <w:lang w:eastAsia="es-MX"/>
              </w:rPr>
              <w:t xml:space="preserve">   </w:t>
            </w:r>
            <w:r w:rsidR="00E63AC0">
              <w:rPr>
                <w:rFonts w:ascii="Calibri" w:hAnsi="Calibri" w:cs="Calibri"/>
                <w:b/>
                <w:bCs/>
                <w:color w:val="000000"/>
                <w:sz w:val="20"/>
                <w:szCs w:val="20"/>
                <w:lang w:eastAsia="es-MX"/>
              </w:rPr>
              <w:t xml:space="preserve">   </w:t>
            </w:r>
            <w:r>
              <w:rPr>
                <w:rFonts w:ascii="Calibri" w:hAnsi="Calibri" w:cs="Calibri"/>
                <w:b/>
                <w:bCs/>
                <w:color w:val="000000"/>
                <w:sz w:val="20"/>
                <w:szCs w:val="20"/>
                <w:lang w:eastAsia="es-MX"/>
              </w:rPr>
              <w:t xml:space="preserve">   </w:t>
            </w:r>
            <w:r w:rsidR="000D7808">
              <w:rPr>
                <w:rFonts w:ascii="Calibri" w:hAnsi="Calibri" w:cs="Calibri"/>
                <w:b/>
                <w:bCs/>
                <w:color w:val="000000"/>
                <w:sz w:val="20"/>
                <w:szCs w:val="20"/>
                <w:lang w:eastAsia="es-MX"/>
              </w:rPr>
              <w:t xml:space="preserve"> </w:t>
            </w:r>
            <w:r w:rsidR="001A300A">
              <w:rPr>
                <w:rFonts w:ascii="Calibri" w:hAnsi="Calibri" w:cs="Calibri"/>
                <w:b/>
                <w:bCs/>
                <w:color w:val="000000"/>
                <w:sz w:val="20"/>
                <w:szCs w:val="20"/>
                <w:lang w:eastAsia="es-MX"/>
              </w:rPr>
              <w:t>19,667,083.94</w:t>
            </w:r>
          </w:p>
        </w:tc>
      </w:tr>
    </w:tbl>
    <w:p w:rsidR="006C01C8" w:rsidRDefault="006C01C8" w:rsidP="00DF3CDB">
      <w:pPr>
        <w:pStyle w:val="Sangradetextonormal"/>
        <w:tabs>
          <w:tab w:val="left" w:pos="7655"/>
        </w:tabs>
        <w:ind w:left="0"/>
        <w:jc w:val="both"/>
        <w:rPr>
          <w:rFonts w:asciiTheme="minorHAnsi" w:hAnsiTheme="minorHAnsi"/>
          <w:b/>
          <w:sz w:val="20"/>
          <w:szCs w:val="20"/>
        </w:rPr>
      </w:pPr>
    </w:p>
    <w:p w:rsidR="008E4CC7" w:rsidRPr="008E4CC7" w:rsidRDefault="008E4CC7" w:rsidP="008822B5">
      <w:pPr>
        <w:pStyle w:val="Ttulo6"/>
        <w:pBdr>
          <w:bottom w:val="single" w:sz="4" w:space="2" w:color="auto"/>
          <w:right w:val="single" w:sz="4" w:space="0" w:color="auto"/>
        </w:pBdr>
        <w:jc w:val="both"/>
        <w:rPr>
          <w:rFonts w:asciiTheme="minorHAnsi" w:hAnsiTheme="minorHAnsi"/>
          <w:sz w:val="20"/>
          <w:szCs w:val="20"/>
        </w:rPr>
      </w:pPr>
      <w:r w:rsidRPr="00DF3CDB">
        <w:rPr>
          <w:rFonts w:asciiTheme="minorHAnsi" w:hAnsiTheme="minorHAnsi"/>
          <w:sz w:val="20"/>
          <w:szCs w:val="20"/>
        </w:rPr>
        <w:t xml:space="preserve">Nota  </w:t>
      </w:r>
      <w:r w:rsidR="000B3BCC">
        <w:rPr>
          <w:rFonts w:asciiTheme="minorHAnsi" w:hAnsiTheme="minorHAnsi"/>
          <w:sz w:val="20"/>
          <w:szCs w:val="20"/>
        </w:rPr>
        <w:t>10</w:t>
      </w:r>
      <w:r w:rsidR="00EA7721">
        <w:rPr>
          <w:rFonts w:asciiTheme="minorHAnsi" w:hAnsiTheme="minorHAnsi"/>
          <w:sz w:val="20"/>
          <w:szCs w:val="20"/>
        </w:rPr>
        <w:t xml:space="preserve">  </w:t>
      </w:r>
      <w:r w:rsidRPr="008E4CC7">
        <w:rPr>
          <w:rFonts w:asciiTheme="minorHAnsi" w:hAnsiTheme="minorHAnsi"/>
          <w:sz w:val="20"/>
          <w:szCs w:val="20"/>
        </w:rPr>
        <w:t>Conciliación entre los Egresos Presupuestarios y los Gastos Contables</w:t>
      </w:r>
    </w:p>
    <w:p w:rsidR="0048507C" w:rsidRPr="00DF3CDB" w:rsidRDefault="0048507C" w:rsidP="00DF3CDB">
      <w:pPr>
        <w:pStyle w:val="Sangradetextonormal"/>
        <w:tabs>
          <w:tab w:val="left" w:pos="7655"/>
        </w:tabs>
        <w:ind w:left="0"/>
        <w:jc w:val="both"/>
        <w:rPr>
          <w:rFonts w:asciiTheme="minorHAnsi" w:hAnsiTheme="minorHAnsi"/>
          <w:b/>
          <w:sz w:val="20"/>
          <w:szCs w:val="20"/>
        </w:rPr>
      </w:pPr>
    </w:p>
    <w:tbl>
      <w:tblPr>
        <w:tblW w:w="10711" w:type="dxa"/>
        <w:jc w:val="center"/>
        <w:tblInd w:w="55" w:type="dxa"/>
        <w:tblCellMar>
          <w:left w:w="70" w:type="dxa"/>
          <w:right w:w="70" w:type="dxa"/>
        </w:tblCellMar>
        <w:tblLook w:val="04A0" w:firstRow="1" w:lastRow="0" w:firstColumn="1" w:lastColumn="0" w:noHBand="0" w:noVBand="1"/>
      </w:tblPr>
      <w:tblGrid>
        <w:gridCol w:w="6864"/>
        <w:gridCol w:w="1798"/>
        <w:gridCol w:w="2049"/>
      </w:tblGrid>
      <w:tr w:rsidR="005D12B2" w:rsidRPr="005D12B2" w:rsidTr="00EF29D2">
        <w:trPr>
          <w:trHeight w:val="300"/>
          <w:jc w:val="center"/>
        </w:trPr>
        <w:tc>
          <w:tcPr>
            <w:tcW w:w="10711" w:type="dxa"/>
            <w:gridSpan w:val="3"/>
            <w:tcBorders>
              <w:top w:val="single" w:sz="8" w:space="0" w:color="auto"/>
              <w:left w:val="single" w:sz="8" w:space="0" w:color="auto"/>
              <w:bottom w:val="nil"/>
              <w:right w:val="single" w:sz="8" w:space="0" w:color="000000"/>
            </w:tcBorders>
            <w:shd w:val="clear" w:color="auto" w:fill="auto"/>
            <w:noWrap/>
            <w:hideMark/>
          </w:tcPr>
          <w:p w:rsidR="005D12B2" w:rsidRPr="005D12B2" w:rsidRDefault="005D12B2" w:rsidP="005D12B2">
            <w:pPr>
              <w:jc w:val="center"/>
              <w:rPr>
                <w:rFonts w:ascii="Arial" w:hAnsi="Arial" w:cs="Arial"/>
                <w:b/>
                <w:bCs/>
                <w:color w:val="000000"/>
                <w:sz w:val="18"/>
                <w:szCs w:val="18"/>
                <w:lang w:eastAsia="es-MX"/>
              </w:rPr>
            </w:pPr>
            <w:r w:rsidRPr="005D12B2">
              <w:rPr>
                <w:rFonts w:ascii="Arial" w:hAnsi="Arial" w:cs="Arial"/>
                <w:b/>
                <w:bCs/>
                <w:color w:val="000000"/>
                <w:sz w:val="18"/>
                <w:szCs w:val="18"/>
                <w:lang w:eastAsia="es-MX"/>
              </w:rPr>
              <w:t>Auditoría Superior del Estado</w:t>
            </w:r>
          </w:p>
        </w:tc>
      </w:tr>
      <w:tr w:rsidR="005D12B2" w:rsidRPr="005D12B2" w:rsidTr="00EF29D2">
        <w:trPr>
          <w:trHeight w:val="300"/>
          <w:jc w:val="center"/>
        </w:trPr>
        <w:tc>
          <w:tcPr>
            <w:tcW w:w="10711" w:type="dxa"/>
            <w:gridSpan w:val="3"/>
            <w:tcBorders>
              <w:top w:val="nil"/>
              <w:left w:val="single" w:sz="8" w:space="0" w:color="auto"/>
              <w:bottom w:val="nil"/>
              <w:right w:val="single" w:sz="8" w:space="0" w:color="000000"/>
            </w:tcBorders>
            <w:shd w:val="clear" w:color="auto" w:fill="auto"/>
            <w:noWrap/>
            <w:hideMark/>
          </w:tcPr>
          <w:p w:rsidR="005D12B2" w:rsidRPr="005D12B2" w:rsidRDefault="005D12B2" w:rsidP="005D12B2">
            <w:pPr>
              <w:jc w:val="center"/>
              <w:rPr>
                <w:rFonts w:ascii="Arial" w:hAnsi="Arial" w:cs="Arial"/>
                <w:b/>
                <w:bCs/>
                <w:color w:val="000000"/>
                <w:sz w:val="18"/>
                <w:szCs w:val="18"/>
                <w:lang w:eastAsia="es-MX"/>
              </w:rPr>
            </w:pPr>
            <w:r w:rsidRPr="005D12B2">
              <w:rPr>
                <w:rFonts w:ascii="Arial" w:hAnsi="Arial" w:cs="Arial"/>
                <w:b/>
                <w:bCs/>
                <w:color w:val="000000"/>
                <w:sz w:val="18"/>
                <w:szCs w:val="18"/>
                <w:lang w:eastAsia="es-MX"/>
              </w:rPr>
              <w:t>Conciliación entre los Egresos Presupuestarios y los Gastos Contables</w:t>
            </w:r>
          </w:p>
        </w:tc>
      </w:tr>
      <w:tr w:rsidR="005D12B2" w:rsidRPr="005D12B2" w:rsidTr="00EF29D2">
        <w:trPr>
          <w:trHeight w:val="300"/>
          <w:jc w:val="center"/>
        </w:trPr>
        <w:tc>
          <w:tcPr>
            <w:tcW w:w="10711" w:type="dxa"/>
            <w:gridSpan w:val="3"/>
            <w:tcBorders>
              <w:top w:val="nil"/>
              <w:left w:val="single" w:sz="8" w:space="0" w:color="auto"/>
              <w:bottom w:val="nil"/>
              <w:right w:val="single" w:sz="8" w:space="0" w:color="000000"/>
            </w:tcBorders>
            <w:shd w:val="clear" w:color="auto" w:fill="auto"/>
            <w:noWrap/>
            <w:hideMark/>
          </w:tcPr>
          <w:p w:rsidR="005D12B2" w:rsidRPr="005D12B2" w:rsidRDefault="00E63AC0" w:rsidP="00900104">
            <w:pPr>
              <w:jc w:val="center"/>
              <w:rPr>
                <w:rFonts w:ascii="Arial" w:hAnsi="Arial" w:cs="Arial"/>
                <w:b/>
                <w:bCs/>
                <w:color w:val="000000"/>
                <w:sz w:val="18"/>
                <w:szCs w:val="18"/>
                <w:lang w:eastAsia="es-MX"/>
              </w:rPr>
            </w:pPr>
            <w:r>
              <w:rPr>
                <w:rFonts w:ascii="Arial" w:hAnsi="Arial" w:cs="Arial"/>
                <w:b/>
                <w:bCs/>
                <w:color w:val="000000"/>
                <w:sz w:val="18"/>
                <w:szCs w:val="18"/>
                <w:lang w:eastAsia="es-MX"/>
              </w:rPr>
              <w:t>Correspondiente del 1° de enero</w:t>
            </w:r>
            <w:r w:rsidR="005D12B2" w:rsidRPr="005D12B2">
              <w:rPr>
                <w:rFonts w:ascii="Arial" w:hAnsi="Arial" w:cs="Arial"/>
                <w:b/>
                <w:bCs/>
                <w:color w:val="000000"/>
                <w:sz w:val="18"/>
                <w:szCs w:val="18"/>
                <w:lang w:eastAsia="es-MX"/>
              </w:rPr>
              <w:t xml:space="preserve"> al </w:t>
            </w:r>
            <w:r w:rsidR="004211AA">
              <w:rPr>
                <w:rFonts w:asciiTheme="minorHAnsi" w:hAnsiTheme="minorHAnsi"/>
                <w:b/>
                <w:sz w:val="20"/>
                <w:szCs w:val="20"/>
              </w:rPr>
              <w:t xml:space="preserve">31 de </w:t>
            </w:r>
            <w:r w:rsidR="00900104">
              <w:rPr>
                <w:rFonts w:asciiTheme="minorHAnsi" w:hAnsiTheme="minorHAnsi"/>
                <w:b/>
                <w:sz w:val="20"/>
                <w:szCs w:val="20"/>
              </w:rPr>
              <w:t>marzo</w:t>
            </w:r>
            <w:r w:rsidR="006D3539" w:rsidRPr="005B7E64">
              <w:rPr>
                <w:rFonts w:asciiTheme="minorHAnsi" w:hAnsiTheme="minorHAnsi"/>
                <w:b/>
                <w:sz w:val="20"/>
                <w:szCs w:val="20"/>
              </w:rPr>
              <w:t xml:space="preserve"> de 201</w:t>
            </w:r>
            <w:r w:rsidR="00396DD0">
              <w:rPr>
                <w:rFonts w:asciiTheme="minorHAnsi" w:hAnsiTheme="minorHAnsi"/>
                <w:b/>
                <w:sz w:val="20"/>
                <w:szCs w:val="20"/>
              </w:rPr>
              <w:t>8</w:t>
            </w:r>
          </w:p>
        </w:tc>
      </w:tr>
      <w:tr w:rsidR="005D12B2" w:rsidRPr="005D12B2" w:rsidTr="00EF29D2">
        <w:trPr>
          <w:trHeight w:val="231"/>
          <w:jc w:val="center"/>
        </w:trPr>
        <w:tc>
          <w:tcPr>
            <w:tcW w:w="10711" w:type="dxa"/>
            <w:gridSpan w:val="3"/>
            <w:tcBorders>
              <w:top w:val="nil"/>
              <w:left w:val="single" w:sz="8" w:space="0" w:color="auto"/>
              <w:bottom w:val="single" w:sz="4" w:space="0" w:color="auto"/>
              <w:right w:val="single" w:sz="8" w:space="0" w:color="000000"/>
            </w:tcBorders>
            <w:shd w:val="clear" w:color="auto" w:fill="auto"/>
            <w:noWrap/>
            <w:vAlign w:val="bottom"/>
            <w:hideMark/>
          </w:tcPr>
          <w:p w:rsidR="005D12B2" w:rsidRPr="005D12B2" w:rsidRDefault="005D12B2" w:rsidP="005D12B2">
            <w:pPr>
              <w:jc w:val="center"/>
              <w:rPr>
                <w:rFonts w:ascii="Arial" w:hAnsi="Arial" w:cs="Arial"/>
                <w:b/>
                <w:bCs/>
                <w:color w:val="000000"/>
                <w:sz w:val="18"/>
                <w:szCs w:val="18"/>
                <w:lang w:eastAsia="es-MX"/>
              </w:rPr>
            </w:pPr>
            <w:r w:rsidRPr="005D12B2">
              <w:rPr>
                <w:rFonts w:ascii="Arial" w:hAnsi="Arial" w:cs="Arial"/>
                <w:b/>
                <w:bCs/>
                <w:color w:val="000000"/>
                <w:sz w:val="18"/>
                <w:szCs w:val="18"/>
                <w:lang w:eastAsia="es-MX"/>
              </w:rPr>
              <w:t>(Cifras en pesos)</w:t>
            </w:r>
          </w:p>
        </w:tc>
      </w:tr>
      <w:tr w:rsidR="005D12B2" w:rsidRPr="005D12B2" w:rsidTr="00EF29D2">
        <w:trPr>
          <w:trHeight w:val="269"/>
          <w:jc w:val="center"/>
        </w:trPr>
        <w:tc>
          <w:tcPr>
            <w:tcW w:w="6864" w:type="dxa"/>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5D12B2" w:rsidRPr="005D12B2" w:rsidRDefault="005D12B2" w:rsidP="005D12B2">
            <w:pPr>
              <w:rPr>
                <w:rFonts w:ascii="Arial" w:hAnsi="Arial" w:cs="Arial"/>
                <w:b/>
                <w:bCs/>
                <w:color w:val="000000"/>
                <w:sz w:val="18"/>
                <w:szCs w:val="18"/>
                <w:lang w:eastAsia="es-MX"/>
              </w:rPr>
            </w:pPr>
            <w:r w:rsidRPr="005D12B2">
              <w:rPr>
                <w:rFonts w:ascii="Arial" w:hAnsi="Arial" w:cs="Arial"/>
                <w:b/>
                <w:bCs/>
                <w:color w:val="000000"/>
                <w:sz w:val="18"/>
                <w:szCs w:val="18"/>
                <w:lang w:eastAsia="es-MX"/>
              </w:rPr>
              <w:t>1. Total de egresos (presupuestarios)</w:t>
            </w:r>
          </w:p>
        </w:tc>
        <w:tc>
          <w:tcPr>
            <w:tcW w:w="1798" w:type="dxa"/>
            <w:tcBorders>
              <w:top w:val="single" w:sz="4" w:space="0" w:color="auto"/>
              <w:left w:val="nil"/>
              <w:bottom w:val="single" w:sz="4" w:space="0" w:color="000000"/>
              <w:right w:val="single" w:sz="4" w:space="0" w:color="000000"/>
            </w:tcBorders>
            <w:shd w:val="clear" w:color="auto" w:fill="auto"/>
            <w:noWrap/>
            <w:vAlign w:val="bottom"/>
            <w:hideMark/>
          </w:tcPr>
          <w:p w:rsidR="005D12B2" w:rsidRPr="005D12B2" w:rsidRDefault="005D12B2" w:rsidP="005D12B2">
            <w:pPr>
              <w:rPr>
                <w:rFonts w:ascii="Arial" w:hAnsi="Arial" w:cs="Arial"/>
                <w:b/>
                <w:bCs/>
                <w:color w:val="000000"/>
                <w:sz w:val="18"/>
                <w:szCs w:val="18"/>
                <w:lang w:eastAsia="es-MX"/>
              </w:rPr>
            </w:pPr>
            <w:r w:rsidRPr="005D12B2">
              <w:rPr>
                <w:rFonts w:ascii="Arial" w:hAnsi="Arial" w:cs="Arial"/>
                <w:b/>
                <w:bCs/>
                <w:color w:val="000000"/>
                <w:sz w:val="18"/>
                <w:szCs w:val="18"/>
                <w:lang w:eastAsia="es-MX"/>
              </w:rPr>
              <w:t> </w:t>
            </w:r>
          </w:p>
        </w:tc>
        <w:tc>
          <w:tcPr>
            <w:tcW w:w="2049" w:type="dxa"/>
            <w:tcBorders>
              <w:top w:val="single" w:sz="4" w:space="0" w:color="auto"/>
              <w:left w:val="nil"/>
              <w:bottom w:val="single" w:sz="4" w:space="0" w:color="auto"/>
              <w:right w:val="single" w:sz="4" w:space="0" w:color="000000"/>
            </w:tcBorders>
            <w:shd w:val="clear" w:color="auto" w:fill="auto"/>
            <w:noWrap/>
            <w:hideMark/>
          </w:tcPr>
          <w:p w:rsidR="005D12B2" w:rsidRPr="005D12B2" w:rsidRDefault="005D12B2" w:rsidP="001A300A">
            <w:pPr>
              <w:jc w:val="center"/>
              <w:rPr>
                <w:rFonts w:ascii="Arial" w:hAnsi="Arial" w:cs="Arial"/>
                <w:b/>
                <w:bCs/>
                <w:color w:val="000000"/>
                <w:sz w:val="18"/>
                <w:szCs w:val="18"/>
                <w:lang w:eastAsia="es-MX"/>
              </w:rPr>
            </w:pPr>
            <w:r w:rsidRPr="005D12B2">
              <w:rPr>
                <w:rFonts w:ascii="Arial" w:hAnsi="Arial" w:cs="Arial"/>
                <w:b/>
                <w:bCs/>
                <w:color w:val="000000"/>
                <w:sz w:val="18"/>
                <w:szCs w:val="18"/>
                <w:lang w:eastAsia="es-MX"/>
              </w:rPr>
              <w:t xml:space="preserve"> $</w:t>
            </w:r>
            <w:r w:rsidR="004211AA">
              <w:rPr>
                <w:rFonts w:ascii="Arial" w:hAnsi="Arial" w:cs="Arial"/>
                <w:b/>
                <w:bCs/>
                <w:color w:val="000000"/>
                <w:sz w:val="18"/>
                <w:szCs w:val="18"/>
                <w:lang w:eastAsia="es-MX"/>
              </w:rPr>
              <w:t xml:space="preserve">          </w:t>
            </w:r>
            <w:r w:rsidR="000D76D2">
              <w:rPr>
                <w:rFonts w:ascii="Arial" w:hAnsi="Arial" w:cs="Arial"/>
                <w:b/>
                <w:bCs/>
                <w:color w:val="000000"/>
                <w:sz w:val="18"/>
                <w:szCs w:val="18"/>
                <w:lang w:eastAsia="es-MX"/>
              </w:rPr>
              <w:t xml:space="preserve"> </w:t>
            </w:r>
            <w:r w:rsidR="004211AA">
              <w:rPr>
                <w:rFonts w:ascii="Arial" w:hAnsi="Arial" w:cs="Arial"/>
                <w:b/>
                <w:bCs/>
                <w:color w:val="000000"/>
                <w:sz w:val="18"/>
                <w:szCs w:val="18"/>
                <w:lang w:eastAsia="es-MX"/>
              </w:rPr>
              <w:t xml:space="preserve"> </w:t>
            </w:r>
            <w:r w:rsidR="001A300A">
              <w:rPr>
                <w:rFonts w:ascii="Arial" w:hAnsi="Arial" w:cs="Arial"/>
                <w:b/>
                <w:bCs/>
                <w:color w:val="000000"/>
                <w:sz w:val="18"/>
                <w:szCs w:val="18"/>
                <w:lang w:eastAsia="es-MX"/>
              </w:rPr>
              <w:t>16,519,325.61</w:t>
            </w:r>
          </w:p>
        </w:tc>
      </w:tr>
      <w:tr w:rsidR="005D12B2" w:rsidRPr="005D12B2" w:rsidTr="00EF29D2">
        <w:trPr>
          <w:trHeight w:val="243"/>
          <w:jc w:val="center"/>
        </w:trPr>
        <w:tc>
          <w:tcPr>
            <w:tcW w:w="6864" w:type="dxa"/>
            <w:tcBorders>
              <w:top w:val="single" w:sz="4" w:space="0" w:color="000000"/>
              <w:left w:val="single" w:sz="4" w:space="0" w:color="000000"/>
              <w:bottom w:val="single" w:sz="4" w:space="0" w:color="000000"/>
              <w:right w:val="nil"/>
            </w:tcBorders>
            <w:shd w:val="clear" w:color="auto" w:fill="auto"/>
            <w:hideMark/>
          </w:tcPr>
          <w:p w:rsidR="005D12B2" w:rsidRPr="005D12B2" w:rsidRDefault="005D12B2" w:rsidP="005D12B2">
            <w:pPr>
              <w:rPr>
                <w:rFonts w:ascii="Arial" w:hAnsi="Arial" w:cs="Arial"/>
                <w:b/>
                <w:bCs/>
                <w:color w:val="000000"/>
                <w:sz w:val="18"/>
                <w:szCs w:val="18"/>
                <w:lang w:eastAsia="es-MX"/>
              </w:rPr>
            </w:pPr>
            <w:r w:rsidRPr="005D12B2">
              <w:rPr>
                <w:rFonts w:ascii="Arial" w:hAnsi="Arial" w:cs="Arial"/>
                <w:b/>
                <w:bCs/>
                <w:color w:val="000000"/>
                <w:sz w:val="18"/>
                <w:szCs w:val="18"/>
                <w:lang w:eastAsia="es-MX"/>
              </w:rPr>
              <w:t>2. Menos egresos presupuestarios no contables</w:t>
            </w:r>
          </w:p>
        </w:tc>
        <w:tc>
          <w:tcPr>
            <w:tcW w:w="1798" w:type="dxa"/>
            <w:tcBorders>
              <w:top w:val="single" w:sz="4" w:space="0" w:color="auto"/>
              <w:left w:val="single" w:sz="4" w:space="0" w:color="auto"/>
              <w:bottom w:val="single" w:sz="4" w:space="0" w:color="auto"/>
              <w:right w:val="single" w:sz="4" w:space="0" w:color="auto"/>
            </w:tcBorders>
            <w:shd w:val="clear" w:color="auto" w:fill="auto"/>
            <w:hideMark/>
          </w:tcPr>
          <w:p w:rsidR="005D12B2" w:rsidRPr="00474980" w:rsidRDefault="005D12B2" w:rsidP="00474980">
            <w:pPr>
              <w:jc w:val="center"/>
              <w:rPr>
                <w:rFonts w:ascii="Calibri" w:hAnsi="Calibri" w:cs="Calibri"/>
                <w:color w:val="000000"/>
                <w:sz w:val="18"/>
                <w:szCs w:val="18"/>
              </w:rPr>
            </w:pPr>
            <w:r w:rsidRPr="00474980">
              <w:rPr>
                <w:rFonts w:ascii="Calibri" w:hAnsi="Calibri" w:cs="Calibri"/>
                <w:color w:val="000000"/>
                <w:sz w:val="18"/>
                <w:szCs w:val="18"/>
              </w:rPr>
              <w:t> </w:t>
            </w:r>
          </w:p>
        </w:tc>
        <w:tc>
          <w:tcPr>
            <w:tcW w:w="2049" w:type="dxa"/>
            <w:tcBorders>
              <w:top w:val="single" w:sz="4" w:space="0" w:color="auto"/>
              <w:left w:val="nil"/>
              <w:bottom w:val="single" w:sz="4" w:space="0" w:color="auto"/>
              <w:right w:val="single" w:sz="4" w:space="0" w:color="000000"/>
            </w:tcBorders>
            <w:shd w:val="clear" w:color="auto" w:fill="auto"/>
            <w:noWrap/>
            <w:hideMark/>
          </w:tcPr>
          <w:p w:rsidR="005D12B2" w:rsidRPr="005D12B2" w:rsidRDefault="005D12B2" w:rsidP="001A300A">
            <w:pPr>
              <w:jc w:val="center"/>
              <w:rPr>
                <w:rFonts w:ascii="Arial" w:hAnsi="Arial" w:cs="Arial"/>
                <w:b/>
                <w:bCs/>
                <w:color w:val="000000"/>
                <w:sz w:val="18"/>
                <w:szCs w:val="18"/>
                <w:lang w:eastAsia="es-MX"/>
              </w:rPr>
            </w:pPr>
            <w:r w:rsidRPr="005D12B2">
              <w:rPr>
                <w:rFonts w:ascii="Arial" w:hAnsi="Arial" w:cs="Arial"/>
                <w:b/>
                <w:bCs/>
                <w:color w:val="000000"/>
                <w:sz w:val="18"/>
                <w:szCs w:val="18"/>
                <w:lang w:eastAsia="es-MX"/>
              </w:rPr>
              <w:t xml:space="preserve"> $     </w:t>
            </w:r>
            <w:r w:rsidR="000D7808">
              <w:rPr>
                <w:rFonts w:ascii="Arial" w:hAnsi="Arial" w:cs="Arial"/>
                <w:b/>
                <w:bCs/>
                <w:color w:val="000000"/>
                <w:sz w:val="18"/>
                <w:szCs w:val="18"/>
                <w:lang w:eastAsia="es-MX"/>
              </w:rPr>
              <w:t xml:space="preserve">         </w:t>
            </w:r>
            <w:r w:rsidR="00E63AC0">
              <w:rPr>
                <w:rFonts w:ascii="Arial" w:hAnsi="Arial" w:cs="Arial"/>
                <w:b/>
                <w:bCs/>
                <w:color w:val="000000"/>
                <w:sz w:val="18"/>
                <w:szCs w:val="18"/>
                <w:lang w:eastAsia="es-MX"/>
              </w:rPr>
              <w:t xml:space="preserve"> </w:t>
            </w:r>
            <w:r w:rsidR="001A300A">
              <w:rPr>
                <w:rFonts w:ascii="Arial" w:hAnsi="Arial" w:cs="Arial"/>
                <w:b/>
                <w:bCs/>
                <w:color w:val="000000"/>
                <w:sz w:val="18"/>
                <w:szCs w:val="18"/>
                <w:lang w:eastAsia="es-MX"/>
              </w:rPr>
              <w:t>689,614.99</w:t>
            </w:r>
          </w:p>
        </w:tc>
      </w:tr>
      <w:tr w:rsidR="00325D9D" w:rsidRPr="005D12B2" w:rsidTr="00EF29D2">
        <w:trPr>
          <w:trHeight w:val="300"/>
          <w:jc w:val="center"/>
        </w:trPr>
        <w:tc>
          <w:tcPr>
            <w:tcW w:w="6864" w:type="dxa"/>
            <w:tcBorders>
              <w:top w:val="nil"/>
              <w:left w:val="single" w:sz="4" w:space="0" w:color="000000"/>
              <w:bottom w:val="single" w:sz="4" w:space="0" w:color="auto"/>
              <w:right w:val="nil"/>
            </w:tcBorders>
            <w:shd w:val="clear" w:color="auto" w:fill="auto"/>
            <w:hideMark/>
          </w:tcPr>
          <w:p w:rsidR="00325D9D" w:rsidRPr="005D12B2" w:rsidRDefault="00325D9D" w:rsidP="005D12B2">
            <w:pPr>
              <w:rPr>
                <w:rFonts w:ascii="Arial" w:hAnsi="Arial" w:cs="Arial"/>
                <w:color w:val="000000"/>
                <w:sz w:val="18"/>
                <w:szCs w:val="18"/>
                <w:lang w:eastAsia="es-MX"/>
              </w:rPr>
            </w:pPr>
            <w:r w:rsidRPr="005D12B2">
              <w:rPr>
                <w:rFonts w:ascii="Arial" w:hAnsi="Arial" w:cs="Arial"/>
                <w:color w:val="000000"/>
                <w:sz w:val="18"/>
                <w:szCs w:val="18"/>
                <w:lang w:eastAsia="es-MX"/>
              </w:rPr>
              <w:t>Mobiliario y equipo de administración</w:t>
            </w:r>
          </w:p>
        </w:tc>
        <w:tc>
          <w:tcPr>
            <w:tcW w:w="1798" w:type="dxa"/>
            <w:tcBorders>
              <w:top w:val="nil"/>
              <w:left w:val="single" w:sz="4" w:space="0" w:color="auto"/>
              <w:bottom w:val="single" w:sz="4" w:space="0" w:color="auto"/>
              <w:right w:val="single" w:sz="4" w:space="0" w:color="auto"/>
            </w:tcBorders>
            <w:shd w:val="clear" w:color="auto" w:fill="auto"/>
            <w:noWrap/>
            <w:vAlign w:val="bottom"/>
            <w:hideMark/>
          </w:tcPr>
          <w:p w:rsidR="00325D9D" w:rsidRDefault="00325D9D" w:rsidP="001A300A">
            <w:pPr>
              <w:rPr>
                <w:rFonts w:ascii="Calibri" w:hAnsi="Calibri" w:cs="Calibri"/>
                <w:color w:val="000000"/>
                <w:sz w:val="18"/>
                <w:szCs w:val="18"/>
              </w:rPr>
            </w:pPr>
            <w:r>
              <w:rPr>
                <w:rFonts w:ascii="Calibri" w:hAnsi="Calibri" w:cs="Calibri"/>
                <w:color w:val="000000"/>
                <w:sz w:val="18"/>
                <w:szCs w:val="18"/>
              </w:rPr>
              <w:t xml:space="preserve">$  </w:t>
            </w:r>
            <w:r w:rsidR="00E63AC0">
              <w:rPr>
                <w:rFonts w:ascii="Calibri" w:hAnsi="Calibri" w:cs="Calibri"/>
                <w:color w:val="000000"/>
                <w:sz w:val="18"/>
                <w:szCs w:val="18"/>
              </w:rPr>
              <w:t xml:space="preserve">            </w:t>
            </w:r>
            <w:r w:rsidR="00474980">
              <w:rPr>
                <w:rFonts w:ascii="Calibri" w:hAnsi="Calibri" w:cs="Calibri"/>
                <w:color w:val="000000"/>
                <w:sz w:val="18"/>
                <w:szCs w:val="18"/>
              </w:rPr>
              <w:t xml:space="preserve">   </w:t>
            </w:r>
            <w:r w:rsidR="00E63AC0">
              <w:rPr>
                <w:rFonts w:ascii="Calibri" w:hAnsi="Calibri" w:cs="Calibri"/>
                <w:color w:val="000000"/>
                <w:sz w:val="18"/>
                <w:szCs w:val="18"/>
              </w:rPr>
              <w:t xml:space="preserve"> </w:t>
            </w:r>
            <w:r w:rsidR="001A300A">
              <w:rPr>
                <w:rFonts w:ascii="Calibri" w:hAnsi="Calibri" w:cs="Calibri"/>
                <w:color w:val="000000"/>
                <w:sz w:val="18"/>
                <w:szCs w:val="18"/>
              </w:rPr>
              <w:t>577,852.73</w:t>
            </w:r>
          </w:p>
        </w:tc>
        <w:tc>
          <w:tcPr>
            <w:tcW w:w="2049" w:type="dxa"/>
            <w:tcBorders>
              <w:top w:val="single" w:sz="4" w:space="0" w:color="auto"/>
              <w:left w:val="nil"/>
              <w:bottom w:val="single" w:sz="4" w:space="0" w:color="auto"/>
              <w:right w:val="single" w:sz="4" w:space="0" w:color="auto"/>
            </w:tcBorders>
            <w:shd w:val="clear" w:color="auto" w:fill="auto"/>
            <w:noWrap/>
            <w:vAlign w:val="bottom"/>
            <w:hideMark/>
          </w:tcPr>
          <w:p w:rsidR="00325D9D" w:rsidRPr="005D12B2" w:rsidRDefault="00325D9D" w:rsidP="005D12B2">
            <w:pPr>
              <w:rPr>
                <w:rFonts w:ascii="Calibri" w:hAnsi="Calibri" w:cs="Calibri"/>
                <w:color w:val="000000"/>
                <w:sz w:val="22"/>
                <w:szCs w:val="22"/>
                <w:lang w:eastAsia="es-MX"/>
              </w:rPr>
            </w:pPr>
            <w:r w:rsidRPr="005D12B2">
              <w:rPr>
                <w:rFonts w:ascii="Calibri" w:hAnsi="Calibri" w:cs="Calibri"/>
                <w:color w:val="000000"/>
                <w:sz w:val="22"/>
                <w:szCs w:val="22"/>
                <w:lang w:eastAsia="es-MX"/>
              </w:rPr>
              <w:t> </w:t>
            </w:r>
          </w:p>
        </w:tc>
        <w:bookmarkStart w:id="0" w:name="_GoBack"/>
        <w:bookmarkEnd w:id="0"/>
      </w:tr>
      <w:tr w:rsidR="00325D9D" w:rsidRPr="005D12B2" w:rsidTr="00EF29D2">
        <w:trPr>
          <w:trHeight w:val="300"/>
          <w:jc w:val="center"/>
        </w:trPr>
        <w:tc>
          <w:tcPr>
            <w:tcW w:w="6864" w:type="dxa"/>
            <w:tcBorders>
              <w:top w:val="single" w:sz="4" w:space="0" w:color="auto"/>
              <w:left w:val="single" w:sz="4" w:space="0" w:color="000000"/>
              <w:bottom w:val="single" w:sz="4" w:space="0" w:color="000000"/>
              <w:right w:val="nil"/>
            </w:tcBorders>
            <w:shd w:val="clear" w:color="auto" w:fill="auto"/>
            <w:hideMark/>
          </w:tcPr>
          <w:p w:rsidR="00325D9D" w:rsidRPr="005D12B2" w:rsidRDefault="00325D9D" w:rsidP="005D12B2">
            <w:pPr>
              <w:rPr>
                <w:rFonts w:ascii="Arial" w:hAnsi="Arial" w:cs="Arial"/>
                <w:color w:val="000000"/>
                <w:sz w:val="18"/>
                <w:szCs w:val="18"/>
                <w:lang w:eastAsia="es-MX"/>
              </w:rPr>
            </w:pPr>
            <w:r w:rsidRPr="005D12B2">
              <w:rPr>
                <w:rFonts w:ascii="Arial" w:hAnsi="Arial" w:cs="Arial"/>
                <w:color w:val="000000"/>
                <w:sz w:val="18"/>
                <w:szCs w:val="18"/>
                <w:lang w:eastAsia="es-MX"/>
              </w:rPr>
              <w:lastRenderedPageBreak/>
              <w:t>Mobiliario y equipo educacional y recreativo</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5D9D" w:rsidRDefault="00325D9D" w:rsidP="000D7808">
            <w:pPr>
              <w:jc w:val="center"/>
              <w:rPr>
                <w:rFonts w:ascii="Calibri" w:hAnsi="Calibri" w:cs="Calibri"/>
                <w:color w:val="000000"/>
                <w:sz w:val="18"/>
                <w:szCs w:val="18"/>
              </w:rPr>
            </w:pPr>
          </w:p>
        </w:tc>
        <w:tc>
          <w:tcPr>
            <w:tcW w:w="2049" w:type="dxa"/>
            <w:tcBorders>
              <w:top w:val="single" w:sz="4" w:space="0" w:color="auto"/>
              <w:left w:val="nil"/>
              <w:bottom w:val="single" w:sz="4" w:space="0" w:color="auto"/>
              <w:right w:val="single" w:sz="4" w:space="0" w:color="auto"/>
            </w:tcBorders>
            <w:shd w:val="clear" w:color="auto" w:fill="auto"/>
            <w:noWrap/>
            <w:vAlign w:val="bottom"/>
            <w:hideMark/>
          </w:tcPr>
          <w:p w:rsidR="00325D9D" w:rsidRPr="005D12B2" w:rsidRDefault="00325D9D" w:rsidP="005D12B2">
            <w:pPr>
              <w:rPr>
                <w:rFonts w:ascii="Calibri" w:hAnsi="Calibri" w:cs="Calibri"/>
                <w:color w:val="000000"/>
                <w:sz w:val="22"/>
                <w:szCs w:val="22"/>
                <w:lang w:eastAsia="es-MX"/>
              </w:rPr>
            </w:pPr>
            <w:r w:rsidRPr="005D12B2">
              <w:rPr>
                <w:rFonts w:ascii="Calibri" w:hAnsi="Calibri" w:cs="Calibri"/>
                <w:color w:val="000000"/>
                <w:sz w:val="22"/>
                <w:szCs w:val="22"/>
                <w:lang w:eastAsia="es-MX"/>
              </w:rPr>
              <w:t> </w:t>
            </w:r>
          </w:p>
        </w:tc>
      </w:tr>
      <w:tr w:rsidR="005D12B2" w:rsidRPr="005D12B2" w:rsidTr="00EF29D2">
        <w:trPr>
          <w:trHeight w:val="300"/>
          <w:jc w:val="center"/>
        </w:trPr>
        <w:tc>
          <w:tcPr>
            <w:tcW w:w="6864" w:type="dxa"/>
            <w:tcBorders>
              <w:top w:val="nil"/>
              <w:left w:val="single" w:sz="4" w:space="0" w:color="000000"/>
              <w:bottom w:val="single" w:sz="4" w:space="0" w:color="000000"/>
              <w:right w:val="nil"/>
            </w:tcBorders>
            <w:shd w:val="clear" w:color="auto" w:fill="auto"/>
            <w:hideMark/>
          </w:tcPr>
          <w:p w:rsidR="005D12B2" w:rsidRPr="005D12B2" w:rsidRDefault="005D12B2" w:rsidP="005D12B2">
            <w:pPr>
              <w:rPr>
                <w:rFonts w:ascii="Arial" w:hAnsi="Arial" w:cs="Arial"/>
                <w:color w:val="000000"/>
                <w:sz w:val="18"/>
                <w:szCs w:val="18"/>
                <w:lang w:eastAsia="es-MX"/>
              </w:rPr>
            </w:pPr>
            <w:r w:rsidRPr="005D12B2">
              <w:rPr>
                <w:rFonts w:ascii="Arial" w:hAnsi="Arial" w:cs="Arial"/>
                <w:color w:val="000000"/>
                <w:sz w:val="18"/>
                <w:szCs w:val="18"/>
                <w:lang w:eastAsia="es-MX"/>
              </w:rPr>
              <w:t>Equipo e instrumental médico y de laboratorio</w:t>
            </w:r>
          </w:p>
        </w:tc>
        <w:tc>
          <w:tcPr>
            <w:tcW w:w="1798" w:type="dxa"/>
            <w:tcBorders>
              <w:top w:val="nil"/>
              <w:left w:val="single" w:sz="4" w:space="0" w:color="auto"/>
              <w:bottom w:val="single" w:sz="4" w:space="0" w:color="auto"/>
              <w:right w:val="single" w:sz="4" w:space="0" w:color="auto"/>
            </w:tcBorders>
            <w:shd w:val="clear" w:color="auto" w:fill="auto"/>
            <w:noWrap/>
            <w:hideMark/>
          </w:tcPr>
          <w:p w:rsidR="005D12B2" w:rsidRPr="00474980" w:rsidRDefault="005D12B2" w:rsidP="00474980">
            <w:pPr>
              <w:jc w:val="center"/>
              <w:rPr>
                <w:rFonts w:ascii="Calibri" w:hAnsi="Calibri" w:cs="Calibri"/>
                <w:color w:val="000000"/>
                <w:sz w:val="18"/>
                <w:szCs w:val="18"/>
              </w:rPr>
            </w:pPr>
          </w:p>
        </w:tc>
        <w:tc>
          <w:tcPr>
            <w:tcW w:w="2049" w:type="dxa"/>
            <w:tcBorders>
              <w:top w:val="nil"/>
              <w:left w:val="nil"/>
              <w:bottom w:val="single" w:sz="4" w:space="0" w:color="auto"/>
              <w:right w:val="single" w:sz="4" w:space="0" w:color="auto"/>
            </w:tcBorders>
            <w:shd w:val="clear" w:color="auto" w:fill="auto"/>
            <w:noWrap/>
            <w:vAlign w:val="bottom"/>
            <w:hideMark/>
          </w:tcPr>
          <w:p w:rsidR="005D12B2" w:rsidRPr="005D12B2" w:rsidRDefault="005D12B2" w:rsidP="005D12B2">
            <w:pPr>
              <w:rPr>
                <w:rFonts w:ascii="Calibri" w:hAnsi="Calibri" w:cs="Calibri"/>
                <w:color w:val="000000"/>
                <w:sz w:val="22"/>
                <w:szCs w:val="22"/>
                <w:lang w:eastAsia="es-MX"/>
              </w:rPr>
            </w:pPr>
            <w:r w:rsidRPr="005D12B2">
              <w:rPr>
                <w:rFonts w:ascii="Calibri" w:hAnsi="Calibri" w:cs="Calibri"/>
                <w:color w:val="000000"/>
                <w:sz w:val="22"/>
                <w:szCs w:val="22"/>
                <w:lang w:eastAsia="es-MX"/>
              </w:rPr>
              <w:t> </w:t>
            </w:r>
          </w:p>
        </w:tc>
      </w:tr>
      <w:tr w:rsidR="00325D9D" w:rsidRPr="005D12B2" w:rsidTr="00EF29D2">
        <w:trPr>
          <w:trHeight w:val="300"/>
          <w:jc w:val="center"/>
        </w:trPr>
        <w:tc>
          <w:tcPr>
            <w:tcW w:w="6864" w:type="dxa"/>
            <w:tcBorders>
              <w:top w:val="nil"/>
              <w:left w:val="single" w:sz="4" w:space="0" w:color="000000"/>
              <w:bottom w:val="single" w:sz="4" w:space="0" w:color="000000"/>
              <w:right w:val="nil"/>
            </w:tcBorders>
            <w:shd w:val="clear" w:color="auto" w:fill="auto"/>
            <w:hideMark/>
          </w:tcPr>
          <w:p w:rsidR="00325D9D" w:rsidRPr="005D12B2" w:rsidRDefault="00325D9D" w:rsidP="005D12B2">
            <w:pPr>
              <w:rPr>
                <w:rFonts w:ascii="Arial" w:hAnsi="Arial" w:cs="Arial"/>
                <w:color w:val="000000"/>
                <w:sz w:val="18"/>
                <w:szCs w:val="18"/>
                <w:lang w:eastAsia="es-MX"/>
              </w:rPr>
            </w:pPr>
            <w:r w:rsidRPr="005D12B2">
              <w:rPr>
                <w:rFonts w:ascii="Arial" w:hAnsi="Arial" w:cs="Arial"/>
                <w:color w:val="000000"/>
                <w:sz w:val="18"/>
                <w:szCs w:val="18"/>
                <w:lang w:eastAsia="es-MX"/>
              </w:rPr>
              <w:t>Vehículos y equipo de transporte</w:t>
            </w:r>
          </w:p>
        </w:tc>
        <w:tc>
          <w:tcPr>
            <w:tcW w:w="1798" w:type="dxa"/>
            <w:tcBorders>
              <w:top w:val="nil"/>
              <w:left w:val="single" w:sz="4" w:space="0" w:color="auto"/>
              <w:bottom w:val="single" w:sz="4" w:space="0" w:color="auto"/>
              <w:right w:val="single" w:sz="4" w:space="0" w:color="auto"/>
            </w:tcBorders>
            <w:shd w:val="clear" w:color="auto" w:fill="auto"/>
            <w:noWrap/>
            <w:vAlign w:val="bottom"/>
            <w:hideMark/>
          </w:tcPr>
          <w:p w:rsidR="00325D9D" w:rsidRDefault="00325D9D" w:rsidP="00474980">
            <w:pPr>
              <w:jc w:val="center"/>
              <w:rPr>
                <w:rFonts w:ascii="Calibri" w:hAnsi="Calibri" w:cs="Calibri"/>
                <w:color w:val="000000"/>
                <w:sz w:val="18"/>
                <w:szCs w:val="18"/>
              </w:rPr>
            </w:pPr>
          </w:p>
        </w:tc>
        <w:tc>
          <w:tcPr>
            <w:tcW w:w="2049" w:type="dxa"/>
            <w:tcBorders>
              <w:top w:val="nil"/>
              <w:left w:val="nil"/>
              <w:bottom w:val="single" w:sz="4" w:space="0" w:color="auto"/>
              <w:right w:val="single" w:sz="4" w:space="0" w:color="auto"/>
            </w:tcBorders>
            <w:shd w:val="clear" w:color="auto" w:fill="auto"/>
            <w:noWrap/>
            <w:vAlign w:val="bottom"/>
            <w:hideMark/>
          </w:tcPr>
          <w:p w:rsidR="00325D9D" w:rsidRPr="005D12B2" w:rsidRDefault="00325D9D" w:rsidP="005D12B2">
            <w:pPr>
              <w:rPr>
                <w:rFonts w:ascii="Calibri" w:hAnsi="Calibri" w:cs="Calibri"/>
                <w:color w:val="000000"/>
                <w:sz w:val="22"/>
                <w:szCs w:val="22"/>
                <w:lang w:eastAsia="es-MX"/>
              </w:rPr>
            </w:pPr>
            <w:r w:rsidRPr="005D12B2">
              <w:rPr>
                <w:rFonts w:ascii="Calibri" w:hAnsi="Calibri" w:cs="Calibri"/>
                <w:color w:val="000000"/>
                <w:sz w:val="22"/>
                <w:szCs w:val="22"/>
                <w:lang w:eastAsia="es-MX"/>
              </w:rPr>
              <w:t> </w:t>
            </w:r>
          </w:p>
        </w:tc>
      </w:tr>
      <w:tr w:rsidR="00325D9D" w:rsidRPr="005D12B2" w:rsidTr="000D7808">
        <w:trPr>
          <w:trHeight w:val="300"/>
          <w:jc w:val="center"/>
        </w:trPr>
        <w:tc>
          <w:tcPr>
            <w:tcW w:w="6864" w:type="dxa"/>
            <w:tcBorders>
              <w:top w:val="nil"/>
              <w:left w:val="single" w:sz="4" w:space="0" w:color="000000"/>
              <w:bottom w:val="single" w:sz="4" w:space="0" w:color="000000"/>
              <w:right w:val="nil"/>
            </w:tcBorders>
            <w:shd w:val="clear" w:color="auto" w:fill="auto"/>
            <w:hideMark/>
          </w:tcPr>
          <w:p w:rsidR="00325D9D" w:rsidRPr="005D12B2" w:rsidRDefault="00325D9D" w:rsidP="005D12B2">
            <w:pPr>
              <w:rPr>
                <w:rFonts w:ascii="Arial" w:hAnsi="Arial" w:cs="Arial"/>
                <w:color w:val="000000"/>
                <w:sz w:val="18"/>
                <w:szCs w:val="18"/>
                <w:lang w:eastAsia="es-MX"/>
              </w:rPr>
            </w:pPr>
            <w:r w:rsidRPr="005D12B2">
              <w:rPr>
                <w:rFonts w:ascii="Arial" w:hAnsi="Arial" w:cs="Arial"/>
                <w:color w:val="000000"/>
                <w:sz w:val="18"/>
                <w:szCs w:val="18"/>
                <w:lang w:eastAsia="es-MX"/>
              </w:rPr>
              <w:t>Equipo de defensa y seguridad</w:t>
            </w:r>
          </w:p>
        </w:tc>
        <w:tc>
          <w:tcPr>
            <w:tcW w:w="1798" w:type="dxa"/>
            <w:tcBorders>
              <w:top w:val="nil"/>
              <w:left w:val="single" w:sz="4" w:space="0" w:color="auto"/>
              <w:bottom w:val="single" w:sz="4" w:space="0" w:color="auto"/>
              <w:right w:val="single" w:sz="4" w:space="0" w:color="auto"/>
            </w:tcBorders>
            <w:shd w:val="clear" w:color="auto" w:fill="auto"/>
            <w:noWrap/>
            <w:vAlign w:val="bottom"/>
          </w:tcPr>
          <w:p w:rsidR="00325D9D" w:rsidRDefault="00325D9D" w:rsidP="000D7808">
            <w:pPr>
              <w:rPr>
                <w:rFonts w:ascii="Calibri" w:hAnsi="Calibri" w:cs="Calibri"/>
                <w:color w:val="000000"/>
                <w:sz w:val="18"/>
                <w:szCs w:val="18"/>
              </w:rPr>
            </w:pPr>
          </w:p>
        </w:tc>
        <w:tc>
          <w:tcPr>
            <w:tcW w:w="2049" w:type="dxa"/>
            <w:tcBorders>
              <w:top w:val="nil"/>
              <w:left w:val="nil"/>
              <w:bottom w:val="single" w:sz="4" w:space="0" w:color="auto"/>
              <w:right w:val="single" w:sz="4" w:space="0" w:color="auto"/>
            </w:tcBorders>
            <w:shd w:val="clear" w:color="auto" w:fill="auto"/>
            <w:noWrap/>
            <w:vAlign w:val="bottom"/>
            <w:hideMark/>
          </w:tcPr>
          <w:p w:rsidR="00325D9D" w:rsidRPr="005D12B2" w:rsidRDefault="00325D9D" w:rsidP="005D12B2">
            <w:pPr>
              <w:rPr>
                <w:rFonts w:ascii="Calibri" w:hAnsi="Calibri" w:cs="Calibri"/>
                <w:color w:val="000000"/>
                <w:sz w:val="22"/>
                <w:szCs w:val="22"/>
                <w:lang w:eastAsia="es-MX"/>
              </w:rPr>
            </w:pPr>
            <w:r w:rsidRPr="005D12B2">
              <w:rPr>
                <w:rFonts w:ascii="Calibri" w:hAnsi="Calibri" w:cs="Calibri"/>
                <w:color w:val="000000"/>
                <w:sz w:val="22"/>
                <w:szCs w:val="22"/>
                <w:lang w:eastAsia="es-MX"/>
              </w:rPr>
              <w:t> </w:t>
            </w:r>
          </w:p>
        </w:tc>
      </w:tr>
      <w:tr w:rsidR="005D12B2" w:rsidRPr="005D12B2" w:rsidTr="00EF29D2">
        <w:trPr>
          <w:trHeight w:val="300"/>
          <w:jc w:val="center"/>
        </w:trPr>
        <w:tc>
          <w:tcPr>
            <w:tcW w:w="6864" w:type="dxa"/>
            <w:tcBorders>
              <w:top w:val="nil"/>
              <w:left w:val="single" w:sz="4" w:space="0" w:color="000000"/>
              <w:bottom w:val="single" w:sz="4" w:space="0" w:color="000000"/>
              <w:right w:val="nil"/>
            </w:tcBorders>
            <w:shd w:val="clear" w:color="auto" w:fill="auto"/>
            <w:hideMark/>
          </w:tcPr>
          <w:p w:rsidR="005D12B2" w:rsidRPr="005D12B2" w:rsidRDefault="005D12B2" w:rsidP="005D12B2">
            <w:pPr>
              <w:rPr>
                <w:rFonts w:ascii="Arial" w:hAnsi="Arial" w:cs="Arial"/>
                <w:color w:val="000000"/>
                <w:sz w:val="18"/>
                <w:szCs w:val="18"/>
                <w:lang w:eastAsia="es-MX"/>
              </w:rPr>
            </w:pPr>
            <w:r w:rsidRPr="005D12B2">
              <w:rPr>
                <w:rFonts w:ascii="Arial" w:hAnsi="Arial" w:cs="Arial"/>
                <w:color w:val="000000"/>
                <w:sz w:val="18"/>
                <w:szCs w:val="18"/>
                <w:lang w:eastAsia="es-MX"/>
              </w:rPr>
              <w:t>Maquinaria, otros equipos y herramientas</w:t>
            </w:r>
          </w:p>
        </w:tc>
        <w:tc>
          <w:tcPr>
            <w:tcW w:w="1798" w:type="dxa"/>
            <w:tcBorders>
              <w:top w:val="nil"/>
              <w:left w:val="single" w:sz="4" w:space="0" w:color="auto"/>
              <w:bottom w:val="single" w:sz="4" w:space="0" w:color="auto"/>
              <w:right w:val="single" w:sz="4" w:space="0" w:color="auto"/>
            </w:tcBorders>
            <w:shd w:val="clear" w:color="auto" w:fill="auto"/>
            <w:noWrap/>
            <w:vAlign w:val="center"/>
          </w:tcPr>
          <w:p w:rsidR="005D12B2" w:rsidRPr="00474980" w:rsidRDefault="005D12B2" w:rsidP="000D7808">
            <w:pPr>
              <w:rPr>
                <w:rFonts w:ascii="Calibri" w:hAnsi="Calibri" w:cs="Calibri"/>
                <w:color w:val="000000"/>
                <w:sz w:val="18"/>
                <w:szCs w:val="18"/>
              </w:rPr>
            </w:pPr>
          </w:p>
        </w:tc>
        <w:tc>
          <w:tcPr>
            <w:tcW w:w="2049" w:type="dxa"/>
            <w:tcBorders>
              <w:top w:val="nil"/>
              <w:left w:val="nil"/>
              <w:bottom w:val="single" w:sz="4" w:space="0" w:color="auto"/>
              <w:right w:val="single" w:sz="4" w:space="0" w:color="auto"/>
            </w:tcBorders>
            <w:shd w:val="clear" w:color="auto" w:fill="auto"/>
            <w:noWrap/>
            <w:vAlign w:val="bottom"/>
            <w:hideMark/>
          </w:tcPr>
          <w:p w:rsidR="005D12B2" w:rsidRPr="005D12B2" w:rsidRDefault="005D12B2" w:rsidP="005D12B2">
            <w:pPr>
              <w:rPr>
                <w:rFonts w:ascii="Calibri" w:hAnsi="Calibri" w:cs="Calibri"/>
                <w:color w:val="000000"/>
                <w:sz w:val="22"/>
                <w:szCs w:val="22"/>
                <w:lang w:eastAsia="es-MX"/>
              </w:rPr>
            </w:pPr>
            <w:r w:rsidRPr="005D12B2">
              <w:rPr>
                <w:rFonts w:ascii="Calibri" w:hAnsi="Calibri" w:cs="Calibri"/>
                <w:color w:val="000000"/>
                <w:sz w:val="22"/>
                <w:szCs w:val="22"/>
                <w:lang w:eastAsia="es-MX"/>
              </w:rPr>
              <w:t> </w:t>
            </w:r>
          </w:p>
        </w:tc>
      </w:tr>
      <w:tr w:rsidR="00325D9D" w:rsidRPr="005D12B2" w:rsidTr="00EF29D2">
        <w:trPr>
          <w:trHeight w:val="300"/>
          <w:jc w:val="center"/>
        </w:trPr>
        <w:tc>
          <w:tcPr>
            <w:tcW w:w="6864" w:type="dxa"/>
            <w:tcBorders>
              <w:top w:val="nil"/>
              <w:left w:val="single" w:sz="4" w:space="0" w:color="000000"/>
              <w:bottom w:val="single" w:sz="4" w:space="0" w:color="000000"/>
              <w:right w:val="nil"/>
            </w:tcBorders>
            <w:shd w:val="clear" w:color="auto" w:fill="auto"/>
            <w:hideMark/>
          </w:tcPr>
          <w:p w:rsidR="00325D9D" w:rsidRPr="005D12B2" w:rsidRDefault="00325D9D" w:rsidP="005D12B2">
            <w:pPr>
              <w:rPr>
                <w:rFonts w:ascii="Arial" w:hAnsi="Arial" w:cs="Arial"/>
                <w:color w:val="000000"/>
                <w:sz w:val="18"/>
                <w:szCs w:val="18"/>
                <w:lang w:eastAsia="es-MX"/>
              </w:rPr>
            </w:pPr>
            <w:r w:rsidRPr="005D12B2">
              <w:rPr>
                <w:rFonts w:ascii="Arial" w:hAnsi="Arial" w:cs="Arial"/>
                <w:color w:val="000000"/>
                <w:sz w:val="18"/>
                <w:szCs w:val="18"/>
                <w:lang w:eastAsia="es-MX"/>
              </w:rPr>
              <w:t>Activos intangibles</w:t>
            </w:r>
          </w:p>
        </w:tc>
        <w:tc>
          <w:tcPr>
            <w:tcW w:w="1798" w:type="dxa"/>
            <w:tcBorders>
              <w:top w:val="nil"/>
              <w:left w:val="single" w:sz="4" w:space="0" w:color="auto"/>
              <w:bottom w:val="single" w:sz="4" w:space="0" w:color="auto"/>
              <w:right w:val="single" w:sz="4" w:space="0" w:color="auto"/>
            </w:tcBorders>
            <w:shd w:val="clear" w:color="auto" w:fill="auto"/>
            <w:noWrap/>
            <w:vAlign w:val="bottom"/>
          </w:tcPr>
          <w:p w:rsidR="00325D9D" w:rsidRDefault="001A300A" w:rsidP="00474980">
            <w:pPr>
              <w:jc w:val="center"/>
              <w:rPr>
                <w:rFonts w:ascii="Calibri" w:hAnsi="Calibri" w:cs="Calibri"/>
                <w:color w:val="000000"/>
                <w:sz w:val="18"/>
                <w:szCs w:val="18"/>
              </w:rPr>
            </w:pPr>
            <w:r>
              <w:rPr>
                <w:rFonts w:ascii="Calibri" w:hAnsi="Calibri" w:cs="Calibri"/>
                <w:color w:val="000000"/>
                <w:sz w:val="18"/>
                <w:szCs w:val="18"/>
              </w:rPr>
              <w:t>$              111,762.24</w:t>
            </w:r>
          </w:p>
        </w:tc>
        <w:tc>
          <w:tcPr>
            <w:tcW w:w="2049" w:type="dxa"/>
            <w:tcBorders>
              <w:top w:val="nil"/>
              <w:left w:val="nil"/>
              <w:bottom w:val="single" w:sz="4" w:space="0" w:color="auto"/>
              <w:right w:val="single" w:sz="4" w:space="0" w:color="auto"/>
            </w:tcBorders>
            <w:shd w:val="clear" w:color="auto" w:fill="auto"/>
            <w:noWrap/>
            <w:vAlign w:val="bottom"/>
            <w:hideMark/>
          </w:tcPr>
          <w:p w:rsidR="00325D9D" w:rsidRPr="005D12B2" w:rsidRDefault="00325D9D" w:rsidP="005D12B2">
            <w:pPr>
              <w:rPr>
                <w:rFonts w:ascii="Calibri" w:hAnsi="Calibri" w:cs="Calibri"/>
                <w:color w:val="000000"/>
                <w:sz w:val="22"/>
                <w:szCs w:val="22"/>
                <w:lang w:eastAsia="es-MX"/>
              </w:rPr>
            </w:pPr>
            <w:r w:rsidRPr="005D12B2">
              <w:rPr>
                <w:rFonts w:ascii="Calibri" w:hAnsi="Calibri" w:cs="Calibri"/>
                <w:color w:val="000000"/>
                <w:sz w:val="22"/>
                <w:szCs w:val="22"/>
                <w:lang w:eastAsia="es-MX"/>
              </w:rPr>
              <w:t> </w:t>
            </w:r>
          </w:p>
        </w:tc>
      </w:tr>
      <w:tr w:rsidR="00325D9D" w:rsidRPr="005D12B2" w:rsidTr="00EF29D2">
        <w:trPr>
          <w:trHeight w:val="300"/>
          <w:jc w:val="center"/>
        </w:trPr>
        <w:tc>
          <w:tcPr>
            <w:tcW w:w="6864" w:type="dxa"/>
            <w:tcBorders>
              <w:top w:val="nil"/>
              <w:left w:val="single" w:sz="4" w:space="0" w:color="000000"/>
              <w:bottom w:val="single" w:sz="4" w:space="0" w:color="000000"/>
              <w:right w:val="nil"/>
            </w:tcBorders>
            <w:shd w:val="clear" w:color="auto" w:fill="auto"/>
            <w:hideMark/>
          </w:tcPr>
          <w:p w:rsidR="00325D9D" w:rsidRPr="005D12B2" w:rsidRDefault="00325D9D" w:rsidP="005D12B2">
            <w:pPr>
              <w:rPr>
                <w:rFonts w:ascii="Arial" w:hAnsi="Arial" w:cs="Arial"/>
                <w:color w:val="000000"/>
                <w:sz w:val="18"/>
                <w:szCs w:val="18"/>
                <w:lang w:eastAsia="es-MX"/>
              </w:rPr>
            </w:pPr>
            <w:r w:rsidRPr="005D12B2">
              <w:rPr>
                <w:rFonts w:ascii="Arial" w:hAnsi="Arial" w:cs="Arial"/>
                <w:color w:val="000000"/>
                <w:sz w:val="18"/>
                <w:szCs w:val="18"/>
                <w:lang w:eastAsia="es-MX"/>
              </w:rPr>
              <w:t>Acciones y participaciones de capital</w:t>
            </w:r>
          </w:p>
        </w:tc>
        <w:tc>
          <w:tcPr>
            <w:tcW w:w="1798" w:type="dxa"/>
            <w:tcBorders>
              <w:top w:val="nil"/>
              <w:left w:val="single" w:sz="4" w:space="0" w:color="auto"/>
              <w:bottom w:val="single" w:sz="4" w:space="0" w:color="auto"/>
              <w:right w:val="single" w:sz="4" w:space="0" w:color="auto"/>
            </w:tcBorders>
            <w:shd w:val="clear" w:color="auto" w:fill="auto"/>
            <w:noWrap/>
            <w:hideMark/>
          </w:tcPr>
          <w:p w:rsidR="00325D9D" w:rsidRPr="005D12B2" w:rsidRDefault="00325D9D" w:rsidP="00325D9D">
            <w:pPr>
              <w:jc w:val="center"/>
              <w:rPr>
                <w:rFonts w:ascii="Arial" w:hAnsi="Arial" w:cs="Arial"/>
                <w:b/>
                <w:bCs/>
                <w:color w:val="000000"/>
                <w:sz w:val="18"/>
                <w:szCs w:val="18"/>
                <w:lang w:eastAsia="es-MX"/>
              </w:rPr>
            </w:pPr>
          </w:p>
        </w:tc>
        <w:tc>
          <w:tcPr>
            <w:tcW w:w="2049" w:type="dxa"/>
            <w:tcBorders>
              <w:top w:val="nil"/>
              <w:left w:val="nil"/>
              <w:bottom w:val="single" w:sz="4" w:space="0" w:color="auto"/>
              <w:right w:val="single" w:sz="4" w:space="0" w:color="auto"/>
            </w:tcBorders>
            <w:shd w:val="clear" w:color="auto" w:fill="auto"/>
            <w:noWrap/>
            <w:vAlign w:val="bottom"/>
            <w:hideMark/>
          </w:tcPr>
          <w:p w:rsidR="00325D9D" w:rsidRPr="005D12B2" w:rsidRDefault="00325D9D" w:rsidP="005D12B2">
            <w:pPr>
              <w:rPr>
                <w:rFonts w:ascii="Calibri" w:hAnsi="Calibri" w:cs="Calibri"/>
                <w:color w:val="000000"/>
                <w:sz w:val="22"/>
                <w:szCs w:val="22"/>
                <w:lang w:eastAsia="es-MX"/>
              </w:rPr>
            </w:pPr>
            <w:r w:rsidRPr="005D12B2">
              <w:rPr>
                <w:rFonts w:ascii="Calibri" w:hAnsi="Calibri" w:cs="Calibri"/>
                <w:color w:val="000000"/>
                <w:sz w:val="22"/>
                <w:szCs w:val="22"/>
                <w:lang w:eastAsia="es-MX"/>
              </w:rPr>
              <w:t> </w:t>
            </w:r>
          </w:p>
        </w:tc>
      </w:tr>
      <w:tr w:rsidR="00325D9D" w:rsidRPr="005D12B2" w:rsidTr="00EF29D2">
        <w:trPr>
          <w:trHeight w:val="300"/>
          <w:jc w:val="center"/>
        </w:trPr>
        <w:tc>
          <w:tcPr>
            <w:tcW w:w="6864" w:type="dxa"/>
            <w:tcBorders>
              <w:top w:val="nil"/>
              <w:left w:val="single" w:sz="4" w:space="0" w:color="000000"/>
              <w:bottom w:val="single" w:sz="4" w:space="0" w:color="000000"/>
              <w:right w:val="nil"/>
            </w:tcBorders>
            <w:shd w:val="clear" w:color="auto" w:fill="auto"/>
            <w:hideMark/>
          </w:tcPr>
          <w:p w:rsidR="00325D9D" w:rsidRPr="005D12B2" w:rsidRDefault="00325D9D" w:rsidP="005D12B2">
            <w:pPr>
              <w:rPr>
                <w:rFonts w:ascii="Arial" w:hAnsi="Arial" w:cs="Arial"/>
                <w:color w:val="000000"/>
                <w:sz w:val="18"/>
                <w:szCs w:val="18"/>
                <w:lang w:eastAsia="es-MX"/>
              </w:rPr>
            </w:pPr>
            <w:r w:rsidRPr="005D12B2">
              <w:rPr>
                <w:rFonts w:ascii="Arial" w:hAnsi="Arial" w:cs="Arial"/>
                <w:color w:val="000000"/>
                <w:sz w:val="18"/>
                <w:szCs w:val="18"/>
                <w:lang w:eastAsia="es-MX"/>
              </w:rPr>
              <w:t>Compra de títulos y valores</w:t>
            </w:r>
          </w:p>
        </w:tc>
        <w:tc>
          <w:tcPr>
            <w:tcW w:w="1798" w:type="dxa"/>
            <w:tcBorders>
              <w:top w:val="nil"/>
              <w:left w:val="single" w:sz="4" w:space="0" w:color="auto"/>
              <w:bottom w:val="single" w:sz="4" w:space="0" w:color="auto"/>
              <w:right w:val="single" w:sz="4" w:space="0" w:color="auto"/>
            </w:tcBorders>
            <w:shd w:val="clear" w:color="auto" w:fill="auto"/>
            <w:noWrap/>
            <w:hideMark/>
          </w:tcPr>
          <w:p w:rsidR="00325D9D" w:rsidRPr="005D12B2" w:rsidRDefault="00325D9D" w:rsidP="005D12B2">
            <w:pPr>
              <w:jc w:val="center"/>
              <w:rPr>
                <w:rFonts w:ascii="Arial" w:hAnsi="Arial" w:cs="Arial"/>
                <w:b/>
                <w:bCs/>
                <w:color w:val="000000"/>
                <w:sz w:val="18"/>
                <w:szCs w:val="18"/>
                <w:lang w:eastAsia="es-MX"/>
              </w:rPr>
            </w:pPr>
          </w:p>
        </w:tc>
        <w:tc>
          <w:tcPr>
            <w:tcW w:w="2049" w:type="dxa"/>
            <w:tcBorders>
              <w:top w:val="nil"/>
              <w:left w:val="nil"/>
              <w:bottom w:val="single" w:sz="4" w:space="0" w:color="auto"/>
              <w:right w:val="single" w:sz="4" w:space="0" w:color="auto"/>
            </w:tcBorders>
            <w:shd w:val="clear" w:color="auto" w:fill="auto"/>
            <w:noWrap/>
            <w:vAlign w:val="bottom"/>
            <w:hideMark/>
          </w:tcPr>
          <w:p w:rsidR="00325D9D" w:rsidRPr="005D12B2" w:rsidRDefault="00325D9D" w:rsidP="005D12B2">
            <w:pPr>
              <w:rPr>
                <w:rFonts w:ascii="Calibri" w:hAnsi="Calibri" w:cs="Calibri"/>
                <w:color w:val="000000"/>
                <w:sz w:val="22"/>
                <w:szCs w:val="22"/>
                <w:lang w:eastAsia="es-MX"/>
              </w:rPr>
            </w:pPr>
            <w:r w:rsidRPr="005D12B2">
              <w:rPr>
                <w:rFonts w:ascii="Calibri" w:hAnsi="Calibri" w:cs="Calibri"/>
                <w:color w:val="000000"/>
                <w:sz w:val="22"/>
                <w:szCs w:val="22"/>
                <w:lang w:eastAsia="es-MX"/>
              </w:rPr>
              <w:t> </w:t>
            </w:r>
          </w:p>
        </w:tc>
      </w:tr>
      <w:tr w:rsidR="00325D9D" w:rsidRPr="005D12B2" w:rsidTr="00EF29D2">
        <w:trPr>
          <w:trHeight w:val="300"/>
          <w:jc w:val="center"/>
        </w:trPr>
        <w:tc>
          <w:tcPr>
            <w:tcW w:w="6864" w:type="dxa"/>
            <w:tcBorders>
              <w:top w:val="nil"/>
              <w:left w:val="single" w:sz="4" w:space="0" w:color="000000"/>
              <w:bottom w:val="single" w:sz="4" w:space="0" w:color="000000"/>
              <w:right w:val="nil"/>
            </w:tcBorders>
            <w:shd w:val="clear" w:color="auto" w:fill="auto"/>
            <w:hideMark/>
          </w:tcPr>
          <w:p w:rsidR="00325D9D" w:rsidRPr="005D12B2" w:rsidRDefault="00325D9D" w:rsidP="005D12B2">
            <w:pPr>
              <w:rPr>
                <w:rFonts w:ascii="Arial" w:hAnsi="Arial" w:cs="Arial"/>
                <w:color w:val="000000"/>
                <w:sz w:val="18"/>
                <w:szCs w:val="18"/>
                <w:lang w:eastAsia="es-MX"/>
              </w:rPr>
            </w:pPr>
            <w:r w:rsidRPr="005D12B2">
              <w:rPr>
                <w:rFonts w:ascii="Arial" w:hAnsi="Arial" w:cs="Arial"/>
                <w:color w:val="000000"/>
                <w:sz w:val="18"/>
                <w:szCs w:val="18"/>
                <w:lang w:eastAsia="es-MX"/>
              </w:rPr>
              <w:t>Inversiones en fideicomisos, mandatos y otros análogos</w:t>
            </w:r>
          </w:p>
        </w:tc>
        <w:tc>
          <w:tcPr>
            <w:tcW w:w="1798" w:type="dxa"/>
            <w:tcBorders>
              <w:top w:val="nil"/>
              <w:left w:val="single" w:sz="4" w:space="0" w:color="auto"/>
              <w:bottom w:val="single" w:sz="4" w:space="0" w:color="auto"/>
              <w:right w:val="single" w:sz="4" w:space="0" w:color="auto"/>
            </w:tcBorders>
            <w:shd w:val="clear" w:color="auto" w:fill="auto"/>
            <w:noWrap/>
            <w:hideMark/>
          </w:tcPr>
          <w:p w:rsidR="00325D9D" w:rsidRPr="005D12B2" w:rsidRDefault="00325D9D" w:rsidP="00325D9D">
            <w:pPr>
              <w:jc w:val="center"/>
              <w:rPr>
                <w:rFonts w:ascii="Arial" w:hAnsi="Arial" w:cs="Arial"/>
                <w:b/>
                <w:bCs/>
                <w:color w:val="000000"/>
                <w:sz w:val="18"/>
                <w:szCs w:val="18"/>
                <w:lang w:eastAsia="es-MX"/>
              </w:rPr>
            </w:pPr>
          </w:p>
        </w:tc>
        <w:tc>
          <w:tcPr>
            <w:tcW w:w="2049" w:type="dxa"/>
            <w:tcBorders>
              <w:top w:val="nil"/>
              <w:left w:val="nil"/>
              <w:bottom w:val="single" w:sz="4" w:space="0" w:color="auto"/>
              <w:right w:val="single" w:sz="4" w:space="0" w:color="auto"/>
            </w:tcBorders>
            <w:shd w:val="clear" w:color="auto" w:fill="auto"/>
            <w:noWrap/>
            <w:vAlign w:val="bottom"/>
            <w:hideMark/>
          </w:tcPr>
          <w:p w:rsidR="00325D9D" w:rsidRPr="005D12B2" w:rsidRDefault="00325D9D" w:rsidP="005D12B2">
            <w:pPr>
              <w:rPr>
                <w:rFonts w:ascii="Calibri" w:hAnsi="Calibri" w:cs="Calibri"/>
                <w:color w:val="000000"/>
                <w:sz w:val="22"/>
                <w:szCs w:val="22"/>
                <w:lang w:eastAsia="es-MX"/>
              </w:rPr>
            </w:pPr>
            <w:r w:rsidRPr="005D12B2">
              <w:rPr>
                <w:rFonts w:ascii="Calibri" w:hAnsi="Calibri" w:cs="Calibri"/>
                <w:color w:val="000000"/>
                <w:sz w:val="22"/>
                <w:szCs w:val="22"/>
                <w:lang w:eastAsia="es-MX"/>
              </w:rPr>
              <w:t> </w:t>
            </w:r>
          </w:p>
        </w:tc>
      </w:tr>
      <w:tr w:rsidR="00325D9D" w:rsidRPr="005D12B2" w:rsidTr="00EF29D2">
        <w:trPr>
          <w:trHeight w:val="300"/>
          <w:jc w:val="center"/>
        </w:trPr>
        <w:tc>
          <w:tcPr>
            <w:tcW w:w="6864" w:type="dxa"/>
            <w:tcBorders>
              <w:top w:val="nil"/>
              <w:left w:val="single" w:sz="4" w:space="0" w:color="000000"/>
              <w:bottom w:val="single" w:sz="4" w:space="0" w:color="000000"/>
              <w:right w:val="nil"/>
            </w:tcBorders>
            <w:shd w:val="clear" w:color="auto" w:fill="auto"/>
            <w:hideMark/>
          </w:tcPr>
          <w:p w:rsidR="00325D9D" w:rsidRPr="005D12B2" w:rsidRDefault="00325D9D" w:rsidP="005D12B2">
            <w:pPr>
              <w:rPr>
                <w:rFonts w:ascii="Arial" w:hAnsi="Arial" w:cs="Arial"/>
                <w:color w:val="000000"/>
                <w:sz w:val="18"/>
                <w:szCs w:val="18"/>
                <w:lang w:eastAsia="es-MX"/>
              </w:rPr>
            </w:pPr>
            <w:r w:rsidRPr="005D12B2">
              <w:rPr>
                <w:rFonts w:ascii="Arial" w:hAnsi="Arial" w:cs="Arial"/>
                <w:color w:val="000000"/>
                <w:sz w:val="18"/>
                <w:szCs w:val="18"/>
                <w:lang w:eastAsia="es-MX"/>
              </w:rPr>
              <w:t xml:space="preserve">Provisiones para contingencias y otras </w:t>
            </w:r>
            <w:r w:rsidR="006D3539" w:rsidRPr="005D12B2">
              <w:rPr>
                <w:rFonts w:ascii="Arial" w:hAnsi="Arial" w:cs="Arial"/>
                <w:color w:val="000000"/>
                <w:sz w:val="18"/>
                <w:szCs w:val="18"/>
                <w:lang w:eastAsia="es-MX"/>
              </w:rPr>
              <w:t>erogaciones especiales</w:t>
            </w:r>
          </w:p>
        </w:tc>
        <w:tc>
          <w:tcPr>
            <w:tcW w:w="1798" w:type="dxa"/>
            <w:tcBorders>
              <w:top w:val="nil"/>
              <w:left w:val="single" w:sz="4" w:space="0" w:color="auto"/>
              <w:bottom w:val="single" w:sz="4" w:space="0" w:color="auto"/>
              <w:right w:val="single" w:sz="4" w:space="0" w:color="auto"/>
            </w:tcBorders>
            <w:shd w:val="clear" w:color="auto" w:fill="auto"/>
            <w:noWrap/>
            <w:hideMark/>
          </w:tcPr>
          <w:p w:rsidR="00325D9D" w:rsidRPr="005D12B2" w:rsidRDefault="00325D9D" w:rsidP="00325D9D">
            <w:pPr>
              <w:jc w:val="center"/>
              <w:rPr>
                <w:rFonts w:ascii="Arial" w:hAnsi="Arial" w:cs="Arial"/>
                <w:b/>
                <w:bCs/>
                <w:color w:val="000000"/>
                <w:sz w:val="18"/>
                <w:szCs w:val="18"/>
                <w:lang w:eastAsia="es-MX"/>
              </w:rPr>
            </w:pPr>
          </w:p>
        </w:tc>
        <w:tc>
          <w:tcPr>
            <w:tcW w:w="2049" w:type="dxa"/>
            <w:tcBorders>
              <w:top w:val="nil"/>
              <w:left w:val="nil"/>
              <w:bottom w:val="single" w:sz="4" w:space="0" w:color="auto"/>
              <w:right w:val="single" w:sz="4" w:space="0" w:color="auto"/>
            </w:tcBorders>
            <w:shd w:val="clear" w:color="auto" w:fill="auto"/>
            <w:noWrap/>
            <w:vAlign w:val="bottom"/>
            <w:hideMark/>
          </w:tcPr>
          <w:p w:rsidR="00325D9D" w:rsidRPr="005D12B2" w:rsidRDefault="00325D9D" w:rsidP="005D12B2">
            <w:pPr>
              <w:rPr>
                <w:rFonts w:ascii="Calibri" w:hAnsi="Calibri" w:cs="Calibri"/>
                <w:color w:val="000000"/>
                <w:sz w:val="22"/>
                <w:szCs w:val="22"/>
                <w:lang w:eastAsia="es-MX"/>
              </w:rPr>
            </w:pPr>
            <w:r w:rsidRPr="005D12B2">
              <w:rPr>
                <w:rFonts w:ascii="Calibri" w:hAnsi="Calibri" w:cs="Calibri"/>
                <w:color w:val="000000"/>
                <w:sz w:val="22"/>
                <w:szCs w:val="22"/>
                <w:lang w:eastAsia="es-MX"/>
              </w:rPr>
              <w:t> </w:t>
            </w:r>
          </w:p>
        </w:tc>
      </w:tr>
      <w:tr w:rsidR="00325D9D" w:rsidRPr="005D12B2" w:rsidTr="00EF29D2">
        <w:trPr>
          <w:trHeight w:val="300"/>
          <w:jc w:val="center"/>
        </w:trPr>
        <w:tc>
          <w:tcPr>
            <w:tcW w:w="6864" w:type="dxa"/>
            <w:tcBorders>
              <w:top w:val="nil"/>
              <w:left w:val="single" w:sz="4" w:space="0" w:color="000000"/>
              <w:bottom w:val="single" w:sz="4" w:space="0" w:color="000000"/>
              <w:right w:val="nil"/>
            </w:tcBorders>
            <w:shd w:val="clear" w:color="auto" w:fill="auto"/>
            <w:hideMark/>
          </w:tcPr>
          <w:p w:rsidR="00325D9D" w:rsidRPr="005D12B2" w:rsidRDefault="00325D9D" w:rsidP="005D12B2">
            <w:pPr>
              <w:rPr>
                <w:rFonts w:ascii="Arial" w:hAnsi="Arial" w:cs="Arial"/>
                <w:color w:val="000000"/>
                <w:sz w:val="18"/>
                <w:szCs w:val="18"/>
                <w:lang w:eastAsia="es-MX"/>
              </w:rPr>
            </w:pPr>
            <w:r w:rsidRPr="005D12B2">
              <w:rPr>
                <w:rFonts w:ascii="Arial" w:hAnsi="Arial" w:cs="Arial"/>
                <w:color w:val="000000"/>
                <w:sz w:val="18"/>
                <w:szCs w:val="18"/>
                <w:lang w:eastAsia="es-MX"/>
              </w:rPr>
              <w:t>Amortización de la deuda publica</w:t>
            </w:r>
          </w:p>
        </w:tc>
        <w:tc>
          <w:tcPr>
            <w:tcW w:w="1798" w:type="dxa"/>
            <w:tcBorders>
              <w:top w:val="nil"/>
              <w:left w:val="single" w:sz="4" w:space="0" w:color="auto"/>
              <w:bottom w:val="single" w:sz="4" w:space="0" w:color="auto"/>
              <w:right w:val="single" w:sz="4" w:space="0" w:color="auto"/>
            </w:tcBorders>
            <w:shd w:val="clear" w:color="auto" w:fill="auto"/>
            <w:noWrap/>
            <w:hideMark/>
          </w:tcPr>
          <w:p w:rsidR="00325D9D" w:rsidRPr="005D12B2" w:rsidRDefault="00325D9D" w:rsidP="00325D9D">
            <w:pPr>
              <w:jc w:val="center"/>
              <w:rPr>
                <w:rFonts w:ascii="Arial" w:hAnsi="Arial" w:cs="Arial"/>
                <w:b/>
                <w:bCs/>
                <w:color w:val="000000"/>
                <w:sz w:val="18"/>
                <w:szCs w:val="18"/>
                <w:lang w:eastAsia="es-MX"/>
              </w:rPr>
            </w:pPr>
          </w:p>
        </w:tc>
        <w:tc>
          <w:tcPr>
            <w:tcW w:w="2049" w:type="dxa"/>
            <w:tcBorders>
              <w:top w:val="nil"/>
              <w:left w:val="nil"/>
              <w:bottom w:val="single" w:sz="4" w:space="0" w:color="auto"/>
              <w:right w:val="single" w:sz="4" w:space="0" w:color="auto"/>
            </w:tcBorders>
            <w:shd w:val="clear" w:color="auto" w:fill="auto"/>
            <w:noWrap/>
            <w:vAlign w:val="bottom"/>
            <w:hideMark/>
          </w:tcPr>
          <w:p w:rsidR="00325D9D" w:rsidRPr="005D12B2" w:rsidRDefault="00325D9D" w:rsidP="005D12B2">
            <w:pPr>
              <w:rPr>
                <w:rFonts w:ascii="Calibri" w:hAnsi="Calibri" w:cs="Calibri"/>
                <w:color w:val="000000"/>
                <w:sz w:val="22"/>
                <w:szCs w:val="22"/>
                <w:lang w:eastAsia="es-MX"/>
              </w:rPr>
            </w:pPr>
            <w:r w:rsidRPr="005D12B2">
              <w:rPr>
                <w:rFonts w:ascii="Calibri" w:hAnsi="Calibri" w:cs="Calibri"/>
                <w:color w:val="000000"/>
                <w:sz w:val="22"/>
                <w:szCs w:val="22"/>
                <w:lang w:eastAsia="es-MX"/>
              </w:rPr>
              <w:t> </w:t>
            </w:r>
          </w:p>
        </w:tc>
      </w:tr>
      <w:tr w:rsidR="00325D9D" w:rsidRPr="005D12B2" w:rsidTr="00EF29D2">
        <w:trPr>
          <w:trHeight w:val="300"/>
          <w:jc w:val="center"/>
        </w:trPr>
        <w:tc>
          <w:tcPr>
            <w:tcW w:w="6864" w:type="dxa"/>
            <w:tcBorders>
              <w:top w:val="nil"/>
              <w:left w:val="single" w:sz="4" w:space="0" w:color="000000"/>
              <w:bottom w:val="single" w:sz="4" w:space="0" w:color="000000"/>
              <w:right w:val="nil"/>
            </w:tcBorders>
            <w:shd w:val="clear" w:color="auto" w:fill="auto"/>
            <w:hideMark/>
          </w:tcPr>
          <w:p w:rsidR="00325D9D" w:rsidRPr="005D12B2" w:rsidRDefault="00325D9D" w:rsidP="005D12B2">
            <w:pPr>
              <w:rPr>
                <w:rFonts w:ascii="Arial" w:hAnsi="Arial" w:cs="Arial"/>
                <w:color w:val="000000"/>
                <w:sz w:val="18"/>
                <w:szCs w:val="18"/>
                <w:lang w:eastAsia="es-MX"/>
              </w:rPr>
            </w:pPr>
            <w:r w:rsidRPr="005D12B2">
              <w:rPr>
                <w:rFonts w:ascii="Arial" w:hAnsi="Arial" w:cs="Arial"/>
                <w:color w:val="000000"/>
                <w:sz w:val="18"/>
                <w:szCs w:val="18"/>
                <w:lang w:eastAsia="es-MX"/>
              </w:rPr>
              <w:t>Adeudos de ejercicios fiscales anteriores (ADEFAS)</w:t>
            </w:r>
          </w:p>
        </w:tc>
        <w:tc>
          <w:tcPr>
            <w:tcW w:w="1798" w:type="dxa"/>
            <w:tcBorders>
              <w:top w:val="nil"/>
              <w:left w:val="single" w:sz="4" w:space="0" w:color="auto"/>
              <w:bottom w:val="single" w:sz="4" w:space="0" w:color="auto"/>
              <w:right w:val="single" w:sz="4" w:space="0" w:color="auto"/>
            </w:tcBorders>
            <w:shd w:val="clear" w:color="auto" w:fill="auto"/>
            <w:noWrap/>
            <w:hideMark/>
          </w:tcPr>
          <w:p w:rsidR="00325D9D" w:rsidRPr="005D12B2" w:rsidRDefault="00325D9D" w:rsidP="00325D9D">
            <w:pPr>
              <w:jc w:val="center"/>
              <w:rPr>
                <w:rFonts w:ascii="Arial" w:hAnsi="Arial" w:cs="Arial"/>
                <w:b/>
                <w:bCs/>
                <w:color w:val="000000"/>
                <w:sz w:val="18"/>
                <w:szCs w:val="18"/>
                <w:lang w:eastAsia="es-MX"/>
              </w:rPr>
            </w:pPr>
          </w:p>
        </w:tc>
        <w:tc>
          <w:tcPr>
            <w:tcW w:w="2049" w:type="dxa"/>
            <w:tcBorders>
              <w:top w:val="nil"/>
              <w:left w:val="nil"/>
              <w:bottom w:val="single" w:sz="4" w:space="0" w:color="auto"/>
              <w:right w:val="single" w:sz="4" w:space="0" w:color="auto"/>
            </w:tcBorders>
            <w:shd w:val="clear" w:color="auto" w:fill="auto"/>
            <w:noWrap/>
            <w:vAlign w:val="bottom"/>
            <w:hideMark/>
          </w:tcPr>
          <w:p w:rsidR="00325D9D" w:rsidRPr="005D12B2" w:rsidRDefault="00325D9D" w:rsidP="005D12B2">
            <w:pPr>
              <w:rPr>
                <w:rFonts w:ascii="Calibri" w:hAnsi="Calibri" w:cs="Calibri"/>
                <w:color w:val="000000"/>
                <w:sz w:val="22"/>
                <w:szCs w:val="22"/>
                <w:lang w:eastAsia="es-MX"/>
              </w:rPr>
            </w:pPr>
            <w:r w:rsidRPr="005D12B2">
              <w:rPr>
                <w:rFonts w:ascii="Calibri" w:hAnsi="Calibri" w:cs="Calibri"/>
                <w:color w:val="000000"/>
                <w:sz w:val="22"/>
                <w:szCs w:val="22"/>
                <w:lang w:eastAsia="es-MX"/>
              </w:rPr>
              <w:t> </w:t>
            </w:r>
          </w:p>
        </w:tc>
      </w:tr>
      <w:tr w:rsidR="00325D9D" w:rsidRPr="005D12B2" w:rsidTr="00EF29D2">
        <w:trPr>
          <w:trHeight w:val="217"/>
          <w:jc w:val="center"/>
        </w:trPr>
        <w:tc>
          <w:tcPr>
            <w:tcW w:w="6864" w:type="dxa"/>
            <w:tcBorders>
              <w:top w:val="nil"/>
              <w:left w:val="single" w:sz="4" w:space="0" w:color="000000"/>
              <w:bottom w:val="single" w:sz="4" w:space="0" w:color="000000"/>
              <w:right w:val="nil"/>
            </w:tcBorders>
            <w:shd w:val="clear" w:color="auto" w:fill="auto"/>
            <w:hideMark/>
          </w:tcPr>
          <w:p w:rsidR="00325D9D" w:rsidRPr="005D12B2" w:rsidRDefault="00325D9D" w:rsidP="005D12B2">
            <w:pPr>
              <w:rPr>
                <w:rFonts w:ascii="Arial" w:hAnsi="Arial" w:cs="Arial"/>
                <w:color w:val="000000"/>
                <w:sz w:val="18"/>
                <w:szCs w:val="18"/>
                <w:lang w:eastAsia="es-MX"/>
              </w:rPr>
            </w:pPr>
            <w:r w:rsidRPr="005D12B2">
              <w:rPr>
                <w:rFonts w:ascii="Arial" w:hAnsi="Arial" w:cs="Arial"/>
                <w:color w:val="000000"/>
                <w:sz w:val="18"/>
                <w:szCs w:val="18"/>
                <w:lang w:eastAsia="es-MX"/>
              </w:rPr>
              <w:t>Otros Egresos Presupuestales No Contables</w:t>
            </w:r>
          </w:p>
        </w:tc>
        <w:tc>
          <w:tcPr>
            <w:tcW w:w="1798" w:type="dxa"/>
            <w:tcBorders>
              <w:top w:val="nil"/>
              <w:left w:val="single" w:sz="4" w:space="0" w:color="auto"/>
              <w:bottom w:val="single" w:sz="4" w:space="0" w:color="auto"/>
              <w:right w:val="single" w:sz="4" w:space="0" w:color="auto"/>
            </w:tcBorders>
            <w:shd w:val="clear" w:color="auto" w:fill="auto"/>
            <w:noWrap/>
            <w:hideMark/>
          </w:tcPr>
          <w:p w:rsidR="00325D9D" w:rsidRPr="005D12B2" w:rsidRDefault="00325D9D" w:rsidP="00325D9D">
            <w:pPr>
              <w:jc w:val="center"/>
              <w:rPr>
                <w:rFonts w:ascii="Arial" w:hAnsi="Arial" w:cs="Arial"/>
                <w:b/>
                <w:bCs/>
                <w:color w:val="000000"/>
                <w:sz w:val="18"/>
                <w:szCs w:val="18"/>
                <w:lang w:eastAsia="es-MX"/>
              </w:rPr>
            </w:pPr>
          </w:p>
        </w:tc>
        <w:tc>
          <w:tcPr>
            <w:tcW w:w="2049" w:type="dxa"/>
            <w:tcBorders>
              <w:top w:val="nil"/>
              <w:left w:val="nil"/>
              <w:bottom w:val="single" w:sz="4" w:space="0" w:color="auto"/>
              <w:right w:val="single" w:sz="4" w:space="0" w:color="auto"/>
            </w:tcBorders>
            <w:shd w:val="clear" w:color="auto" w:fill="auto"/>
            <w:noWrap/>
            <w:vAlign w:val="bottom"/>
            <w:hideMark/>
          </w:tcPr>
          <w:p w:rsidR="00325D9D" w:rsidRPr="005D12B2" w:rsidRDefault="00325D9D" w:rsidP="005D12B2">
            <w:pPr>
              <w:rPr>
                <w:rFonts w:ascii="Calibri" w:hAnsi="Calibri" w:cs="Calibri"/>
                <w:color w:val="000000"/>
                <w:sz w:val="22"/>
                <w:szCs w:val="22"/>
                <w:lang w:eastAsia="es-MX"/>
              </w:rPr>
            </w:pPr>
            <w:r w:rsidRPr="005D12B2">
              <w:rPr>
                <w:rFonts w:ascii="Calibri" w:hAnsi="Calibri" w:cs="Calibri"/>
                <w:color w:val="000000"/>
                <w:sz w:val="22"/>
                <w:szCs w:val="22"/>
                <w:lang w:eastAsia="es-MX"/>
              </w:rPr>
              <w:t> </w:t>
            </w:r>
          </w:p>
        </w:tc>
      </w:tr>
      <w:tr w:rsidR="00325D9D" w:rsidRPr="005D12B2" w:rsidTr="00EF29D2">
        <w:trPr>
          <w:trHeight w:val="267"/>
          <w:jc w:val="center"/>
        </w:trPr>
        <w:tc>
          <w:tcPr>
            <w:tcW w:w="68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5D9D" w:rsidRPr="005D12B2" w:rsidRDefault="00325D9D" w:rsidP="005D12B2">
            <w:pPr>
              <w:rPr>
                <w:rFonts w:ascii="Arial" w:hAnsi="Arial" w:cs="Arial"/>
                <w:b/>
                <w:bCs/>
                <w:color w:val="000000"/>
                <w:sz w:val="18"/>
                <w:szCs w:val="18"/>
                <w:lang w:eastAsia="es-MX"/>
              </w:rPr>
            </w:pPr>
            <w:r w:rsidRPr="005D12B2">
              <w:rPr>
                <w:rFonts w:ascii="Arial" w:hAnsi="Arial" w:cs="Arial"/>
                <w:b/>
                <w:bCs/>
                <w:color w:val="000000"/>
                <w:sz w:val="18"/>
                <w:szCs w:val="18"/>
                <w:lang w:eastAsia="es-MX"/>
              </w:rPr>
              <w:t>3. Mas gastos contables no presupuestales</w:t>
            </w:r>
          </w:p>
        </w:tc>
        <w:tc>
          <w:tcPr>
            <w:tcW w:w="1798" w:type="dxa"/>
            <w:tcBorders>
              <w:top w:val="single" w:sz="4" w:space="0" w:color="auto"/>
              <w:left w:val="nil"/>
              <w:bottom w:val="single" w:sz="4" w:space="0" w:color="auto"/>
              <w:right w:val="single" w:sz="4" w:space="0" w:color="auto"/>
            </w:tcBorders>
            <w:shd w:val="clear" w:color="auto" w:fill="auto"/>
            <w:noWrap/>
            <w:vAlign w:val="bottom"/>
            <w:hideMark/>
          </w:tcPr>
          <w:p w:rsidR="00325D9D" w:rsidRPr="005D12B2" w:rsidRDefault="00325D9D" w:rsidP="005D12B2">
            <w:pPr>
              <w:rPr>
                <w:rFonts w:ascii="Arial" w:hAnsi="Arial" w:cs="Arial"/>
                <w:b/>
                <w:bCs/>
                <w:color w:val="000000"/>
                <w:sz w:val="18"/>
                <w:szCs w:val="18"/>
                <w:lang w:eastAsia="es-MX"/>
              </w:rPr>
            </w:pPr>
            <w:r w:rsidRPr="005D12B2">
              <w:rPr>
                <w:rFonts w:ascii="Arial" w:hAnsi="Arial" w:cs="Arial"/>
                <w:b/>
                <w:bCs/>
                <w:color w:val="000000"/>
                <w:sz w:val="18"/>
                <w:szCs w:val="18"/>
                <w:lang w:eastAsia="es-MX"/>
              </w:rPr>
              <w:t> </w:t>
            </w:r>
          </w:p>
        </w:tc>
        <w:tc>
          <w:tcPr>
            <w:tcW w:w="2049" w:type="dxa"/>
            <w:tcBorders>
              <w:top w:val="single" w:sz="4" w:space="0" w:color="auto"/>
              <w:left w:val="nil"/>
              <w:bottom w:val="single" w:sz="4" w:space="0" w:color="auto"/>
              <w:right w:val="single" w:sz="4" w:space="0" w:color="auto"/>
            </w:tcBorders>
            <w:shd w:val="clear" w:color="auto" w:fill="auto"/>
            <w:noWrap/>
            <w:hideMark/>
          </w:tcPr>
          <w:p w:rsidR="00325D9D" w:rsidRPr="005D12B2" w:rsidRDefault="00325D9D" w:rsidP="001A300A">
            <w:pPr>
              <w:jc w:val="center"/>
              <w:rPr>
                <w:rFonts w:ascii="Arial" w:hAnsi="Arial" w:cs="Arial"/>
                <w:b/>
                <w:bCs/>
                <w:color w:val="000000"/>
                <w:sz w:val="18"/>
                <w:szCs w:val="18"/>
                <w:lang w:eastAsia="es-MX"/>
              </w:rPr>
            </w:pPr>
            <w:r w:rsidRPr="005D12B2">
              <w:rPr>
                <w:rFonts w:ascii="Arial" w:hAnsi="Arial" w:cs="Arial"/>
                <w:b/>
                <w:bCs/>
                <w:color w:val="000000"/>
                <w:sz w:val="18"/>
                <w:szCs w:val="18"/>
                <w:lang w:eastAsia="es-MX"/>
              </w:rPr>
              <w:t xml:space="preserve">$  </w:t>
            </w:r>
            <w:r w:rsidR="00BB0F41">
              <w:rPr>
                <w:rFonts w:ascii="Arial" w:hAnsi="Arial" w:cs="Arial"/>
                <w:b/>
                <w:bCs/>
                <w:color w:val="000000"/>
                <w:sz w:val="18"/>
                <w:szCs w:val="18"/>
                <w:lang w:eastAsia="es-MX"/>
              </w:rPr>
              <w:t xml:space="preserve">            </w:t>
            </w:r>
            <w:r w:rsidR="001A300A">
              <w:rPr>
                <w:rFonts w:ascii="Arial" w:hAnsi="Arial" w:cs="Arial"/>
                <w:b/>
                <w:bCs/>
                <w:color w:val="000000"/>
                <w:sz w:val="18"/>
                <w:szCs w:val="18"/>
                <w:lang w:eastAsia="es-MX"/>
              </w:rPr>
              <w:t>528,247.07</w:t>
            </w:r>
          </w:p>
        </w:tc>
      </w:tr>
      <w:tr w:rsidR="00325D9D" w:rsidRPr="005D12B2" w:rsidTr="00EF29D2">
        <w:trPr>
          <w:trHeight w:val="243"/>
          <w:jc w:val="center"/>
        </w:trPr>
        <w:tc>
          <w:tcPr>
            <w:tcW w:w="6864" w:type="dxa"/>
            <w:tcBorders>
              <w:top w:val="nil"/>
              <w:left w:val="single" w:sz="4" w:space="0" w:color="000000"/>
              <w:bottom w:val="single" w:sz="4" w:space="0" w:color="000000"/>
              <w:right w:val="nil"/>
            </w:tcBorders>
            <w:shd w:val="clear" w:color="auto" w:fill="auto"/>
            <w:hideMark/>
          </w:tcPr>
          <w:p w:rsidR="00325D9D" w:rsidRPr="005D12B2" w:rsidRDefault="00325D9D" w:rsidP="005D12B2">
            <w:pPr>
              <w:rPr>
                <w:rFonts w:ascii="Arial" w:hAnsi="Arial" w:cs="Arial"/>
                <w:color w:val="000000"/>
                <w:sz w:val="18"/>
                <w:szCs w:val="18"/>
                <w:lang w:eastAsia="es-MX"/>
              </w:rPr>
            </w:pPr>
            <w:r w:rsidRPr="005D12B2">
              <w:rPr>
                <w:rFonts w:ascii="Arial" w:hAnsi="Arial" w:cs="Arial"/>
                <w:color w:val="000000"/>
                <w:sz w:val="18"/>
                <w:szCs w:val="18"/>
                <w:lang w:eastAsia="es-MX"/>
              </w:rPr>
              <w:t>Estimaciones, depreciaciones, deterioros, obsolescencia y amortizaciones</w:t>
            </w:r>
          </w:p>
        </w:tc>
        <w:tc>
          <w:tcPr>
            <w:tcW w:w="1798" w:type="dxa"/>
            <w:tcBorders>
              <w:top w:val="nil"/>
              <w:left w:val="single" w:sz="4" w:space="0" w:color="auto"/>
              <w:bottom w:val="single" w:sz="4" w:space="0" w:color="auto"/>
              <w:right w:val="single" w:sz="4" w:space="0" w:color="auto"/>
            </w:tcBorders>
            <w:shd w:val="clear" w:color="auto" w:fill="auto"/>
            <w:noWrap/>
            <w:vAlign w:val="bottom"/>
            <w:hideMark/>
          </w:tcPr>
          <w:p w:rsidR="00325D9D" w:rsidRDefault="00325D9D" w:rsidP="001A300A">
            <w:pPr>
              <w:rPr>
                <w:rFonts w:ascii="Calibri" w:hAnsi="Calibri" w:cs="Calibri"/>
                <w:color w:val="000000"/>
                <w:sz w:val="18"/>
                <w:szCs w:val="18"/>
              </w:rPr>
            </w:pPr>
            <w:r>
              <w:rPr>
                <w:rFonts w:ascii="Calibri" w:hAnsi="Calibri" w:cs="Calibri"/>
                <w:color w:val="000000"/>
                <w:sz w:val="18"/>
                <w:szCs w:val="18"/>
              </w:rPr>
              <w:t>$</w:t>
            </w:r>
            <w:r w:rsidR="00474980">
              <w:rPr>
                <w:rFonts w:ascii="Calibri" w:hAnsi="Calibri" w:cs="Calibri"/>
                <w:color w:val="000000"/>
                <w:sz w:val="18"/>
                <w:szCs w:val="18"/>
              </w:rPr>
              <w:t xml:space="preserve">   </w:t>
            </w:r>
            <w:r w:rsidR="001A300A">
              <w:rPr>
                <w:rFonts w:ascii="Calibri" w:hAnsi="Calibri" w:cs="Calibri"/>
                <w:color w:val="000000"/>
                <w:sz w:val="18"/>
                <w:szCs w:val="18"/>
              </w:rPr>
              <w:t xml:space="preserve">  </w:t>
            </w:r>
            <w:r w:rsidR="00474980">
              <w:rPr>
                <w:rFonts w:ascii="Calibri" w:hAnsi="Calibri" w:cs="Calibri"/>
                <w:color w:val="000000"/>
                <w:sz w:val="18"/>
                <w:szCs w:val="18"/>
              </w:rPr>
              <w:t xml:space="preserve">         </w:t>
            </w:r>
            <w:r>
              <w:rPr>
                <w:rFonts w:ascii="Calibri" w:hAnsi="Calibri" w:cs="Calibri"/>
                <w:color w:val="000000"/>
                <w:sz w:val="18"/>
                <w:szCs w:val="18"/>
              </w:rPr>
              <w:t xml:space="preserve">   </w:t>
            </w:r>
            <w:r w:rsidR="001A300A">
              <w:rPr>
                <w:rFonts w:ascii="Calibri" w:hAnsi="Calibri" w:cs="Calibri"/>
                <w:color w:val="000000"/>
                <w:sz w:val="18"/>
                <w:szCs w:val="18"/>
              </w:rPr>
              <w:t>528,237.93</w:t>
            </w:r>
          </w:p>
        </w:tc>
        <w:tc>
          <w:tcPr>
            <w:tcW w:w="2049" w:type="dxa"/>
            <w:tcBorders>
              <w:top w:val="nil"/>
              <w:left w:val="nil"/>
              <w:bottom w:val="single" w:sz="4" w:space="0" w:color="auto"/>
              <w:right w:val="single" w:sz="4" w:space="0" w:color="auto"/>
            </w:tcBorders>
            <w:shd w:val="clear" w:color="auto" w:fill="auto"/>
            <w:noWrap/>
            <w:vAlign w:val="bottom"/>
            <w:hideMark/>
          </w:tcPr>
          <w:p w:rsidR="00325D9D" w:rsidRPr="005D12B2" w:rsidRDefault="00325D9D" w:rsidP="005D12B2">
            <w:pPr>
              <w:rPr>
                <w:rFonts w:ascii="Calibri" w:hAnsi="Calibri" w:cs="Calibri"/>
                <w:color w:val="000000"/>
                <w:sz w:val="22"/>
                <w:szCs w:val="22"/>
                <w:lang w:eastAsia="es-MX"/>
              </w:rPr>
            </w:pPr>
            <w:r w:rsidRPr="005D12B2">
              <w:rPr>
                <w:rFonts w:ascii="Calibri" w:hAnsi="Calibri" w:cs="Calibri"/>
                <w:color w:val="000000"/>
                <w:sz w:val="22"/>
                <w:szCs w:val="22"/>
                <w:lang w:eastAsia="es-MX"/>
              </w:rPr>
              <w:t> </w:t>
            </w:r>
          </w:p>
        </w:tc>
      </w:tr>
      <w:tr w:rsidR="00325D9D" w:rsidRPr="005D12B2" w:rsidTr="00EF29D2">
        <w:trPr>
          <w:trHeight w:val="300"/>
          <w:jc w:val="center"/>
        </w:trPr>
        <w:tc>
          <w:tcPr>
            <w:tcW w:w="6864" w:type="dxa"/>
            <w:tcBorders>
              <w:top w:val="nil"/>
              <w:left w:val="single" w:sz="4" w:space="0" w:color="000000"/>
              <w:bottom w:val="single" w:sz="4" w:space="0" w:color="000000"/>
              <w:right w:val="nil"/>
            </w:tcBorders>
            <w:shd w:val="clear" w:color="auto" w:fill="auto"/>
            <w:hideMark/>
          </w:tcPr>
          <w:p w:rsidR="00325D9D" w:rsidRPr="005D12B2" w:rsidRDefault="00325D9D" w:rsidP="005D12B2">
            <w:pPr>
              <w:rPr>
                <w:rFonts w:ascii="Arial" w:hAnsi="Arial" w:cs="Arial"/>
                <w:color w:val="000000"/>
                <w:sz w:val="18"/>
                <w:szCs w:val="18"/>
                <w:lang w:eastAsia="es-MX"/>
              </w:rPr>
            </w:pPr>
            <w:r w:rsidRPr="005D12B2">
              <w:rPr>
                <w:rFonts w:ascii="Arial" w:hAnsi="Arial" w:cs="Arial"/>
                <w:color w:val="000000"/>
                <w:sz w:val="18"/>
                <w:szCs w:val="18"/>
                <w:lang w:eastAsia="es-MX"/>
              </w:rPr>
              <w:t>Provisiones</w:t>
            </w:r>
          </w:p>
        </w:tc>
        <w:tc>
          <w:tcPr>
            <w:tcW w:w="1798" w:type="dxa"/>
            <w:tcBorders>
              <w:top w:val="nil"/>
              <w:left w:val="single" w:sz="4" w:space="0" w:color="auto"/>
              <w:bottom w:val="single" w:sz="4" w:space="0" w:color="auto"/>
              <w:right w:val="single" w:sz="4" w:space="0" w:color="auto"/>
            </w:tcBorders>
            <w:shd w:val="clear" w:color="auto" w:fill="auto"/>
            <w:noWrap/>
            <w:vAlign w:val="bottom"/>
            <w:hideMark/>
          </w:tcPr>
          <w:p w:rsidR="00325D9D" w:rsidRDefault="00325D9D" w:rsidP="00474980">
            <w:pPr>
              <w:rPr>
                <w:rFonts w:ascii="Calibri" w:hAnsi="Calibri" w:cs="Calibri"/>
                <w:color w:val="000000"/>
                <w:sz w:val="18"/>
                <w:szCs w:val="18"/>
              </w:rPr>
            </w:pPr>
          </w:p>
        </w:tc>
        <w:tc>
          <w:tcPr>
            <w:tcW w:w="2049" w:type="dxa"/>
            <w:tcBorders>
              <w:top w:val="nil"/>
              <w:left w:val="nil"/>
              <w:bottom w:val="single" w:sz="4" w:space="0" w:color="auto"/>
              <w:right w:val="single" w:sz="4" w:space="0" w:color="auto"/>
            </w:tcBorders>
            <w:shd w:val="clear" w:color="auto" w:fill="auto"/>
            <w:noWrap/>
            <w:vAlign w:val="bottom"/>
            <w:hideMark/>
          </w:tcPr>
          <w:p w:rsidR="00325D9D" w:rsidRPr="005D12B2" w:rsidRDefault="00325D9D" w:rsidP="005D12B2">
            <w:pPr>
              <w:rPr>
                <w:rFonts w:ascii="Calibri" w:hAnsi="Calibri" w:cs="Calibri"/>
                <w:color w:val="000000"/>
                <w:sz w:val="22"/>
                <w:szCs w:val="22"/>
                <w:lang w:eastAsia="es-MX"/>
              </w:rPr>
            </w:pPr>
            <w:r w:rsidRPr="005D12B2">
              <w:rPr>
                <w:rFonts w:ascii="Calibri" w:hAnsi="Calibri" w:cs="Calibri"/>
                <w:color w:val="000000"/>
                <w:sz w:val="22"/>
                <w:szCs w:val="22"/>
                <w:lang w:eastAsia="es-MX"/>
              </w:rPr>
              <w:t> </w:t>
            </w:r>
          </w:p>
        </w:tc>
      </w:tr>
      <w:tr w:rsidR="00325D9D" w:rsidRPr="005D12B2" w:rsidTr="00EF29D2">
        <w:trPr>
          <w:trHeight w:val="300"/>
          <w:jc w:val="center"/>
        </w:trPr>
        <w:tc>
          <w:tcPr>
            <w:tcW w:w="6864" w:type="dxa"/>
            <w:tcBorders>
              <w:top w:val="nil"/>
              <w:left w:val="single" w:sz="4" w:space="0" w:color="000000"/>
              <w:bottom w:val="single" w:sz="4" w:space="0" w:color="auto"/>
              <w:right w:val="nil"/>
            </w:tcBorders>
            <w:shd w:val="clear" w:color="auto" w:fill="auto"/>
            <w:hideMark/>
          </w:tcPr>
          <w:p w:rsidR="00325D9D" w:rsidRPr="005D12B2" w:rsidRDefault="00325D9D" w:rsidP="005D12B2">
            <w:pPr>
              <w:rPr>
                <w:rFonts w:ascii="Arial" w:hAnsi="Arial" w:cs="Arial"/>
                <w:color w:val="000000"/>
                <w:sz w:val="18"/>
                <w:szCs w:val="18"/>
                <w:lang w:eastAsia="es-MX"/>
              </w:rPr>
            </w:pPr>
            <w:r w:rsidRPr="005D12B2">
              <w:rPr>
                <w:rFonts w:ascii="Arial" w:hAnsi="Arial" w:cs="Arial"/>
                <w:color w:val="000000"/>
                <w:sz w:val="18"/>
                <w:szCs w:val="18"/>
                <w:lang w:eastAsia="es-MX"/>
              </w:rPr>
              <w:t>Disminución de inventarios</w:t>
            </w:r>
          </w:p>
        </w:tc>
        <w:tc>
          <w:tcPr>
            <w:tcW w:w="1798" w:type="dxa"/>
            <w:tcBorders>
              <w:top w:val="nil"/>
              <w:left w:val="single" w:sz="4" w:space="0" w:color="auto"/>
              <w:bottom w:val="single" w:sz="4" w:space="0" w:color="auto"/>
              <w:right w:val="single" w:sz="4" w:space="0" w:color="auto"/>
            </w:tcBorders>
            <w:shd w:val="clear" w:color="auto" w:fill="auto"/>
            <w:noWrap/>
            <w:vAlign w:val="bottom"/>
            <w:hideMark/>
          </w:tcPr>
          <w:p w:rsidR="00325D9D" w:rsidRDefault="00325D9D">
            <w:pPr>
              <w:jc w:val="right"/>
              <w:rPr>
                <w:rFonts w:ascii="Calibri" w:hAnsi="Calibri" w:cs="Calibri"/>
                <w:color w:val="000000"/>
                <w:sz w:val="18"/>
                <w:szCs w:val="18"/>
              </w:rPr>
            </w:pPr>
          </w:p>
        </w:tc>
        <w:tc>
          <w:tcPr>
            <w:tcW w:w="2049" w:type="dxa"/>
            <w:tcBorders>
              <w:top w:val="nil"/>
              <w:left w:val="nil"/>
              <w:bottom w:val="single" w:sz="4" w:space="0" w:color="auto"/>
              <w:right w:val="single" w:sz="4" w:space="0" w:color="auto"/>
            </w:tcBorders>
            <w:shd w:val="clear" w:color="auto" w:fill="auto"/>
            <w:noWrap/>
            <w:vAlign w:val="bottom"/>
            <w:hideMark/>
          </w:tcPr>
          <w:p w:rsidR="00325D9D" w:rsidRPr="005D12B2" w:rsidRDefault="00325D9D" w:rsidP="005D12B2">
            <w:pPr>
              <w:rPr>
                <w:rFonts w:ascii="Calibri" w:hAnsi="Calibri" w:cs="Calibri"/>
                <w:color w:val="000000"/>
                <w:sz w:val="22"/>
                <w:szCs w:val="22"/>
                <w:lang w:eastAsia="es-MX"/>
              </w:rPr>
            </w:pPr>
            <w:r w:rsidRPr="005D12B2">
              <w:rPr>
                <w:rFonts w:ascii="Calibri" w:hAnsi="Calibri" w:cs="Calibri"/>
                <w:color w:val="000000"/>
                <w:sz w:val="22"/>
                <w:szCs w:val="22"/>
                <w:lang w:eastAsia="es-MX"/>
              </w:rPr>
              <w:t> </w:t>
            </w:r>
          </w:p>
        </w:tc>
      </w:tr>
      <w:tr w:rsidR="00325D9D" w:rsidRPr="005D12B2" w:rsidTr="00EF29D2">
        <w:trPr>
          <w:trHeight w:val="495"/>
          <w:jc w:val="center"/>
        </w:trPr>
        <w:tc>
          <w:tcPr>
            <w:tcW w:w="6864" w:type="dxa"/>
            <w:tcBorders>
              <w:top w:val="single" w:sz="4" w:space="0" w:color="auto"/>
              <w:left w:val="single" w:sz="4" w:space="0" w:color="000000"/>
              <w:bottom w:val="single" w:sz="4" w:space="0" w:color="000000"/>
              <w:right w:val="nil"/>
            </w:tcBorders>
            <w:shd w:val="clear" w:color="auto" w:fill="auto"/>
            <w:hideMark/>
          </w:tcPr>
          <w:p w:rsidR="00325D9D" w:rsidRPr="005D12B2" w:rsidRDefault="00325D9D" w:rsidP="005D12B2">
            <w:pPr>
              <w:rPr>
                <w:rFonts w:ascii="Arial" w:hAnsi="Arial" w:cs="Arial"/>
                <w:color w:val="000000"/>
                <w:sz w:val="18"/>
                <w:szCs w:val="18"/>
                <w:lang w:eastAsia="es-MX"/>
              </w:rPr>
            </w:pPr>
            <w:r w:rsidRPr="005D12B2">
              <w:rPr>
                <w:rFonts w:ascii="Arial" w:hAnsi="Arial" w:cs="Arial"/>
                <w:color w:val="000000"/>
                <w:sz w:val="18"/>
                <w:szCs w:val="18"/>
                <w:lang w:eastAsia="es-MX"/>
              </w:rPr>
              <w:t xml:space="preserve">Aumento por insuficiencia de estimaciones por pérdida </w:t>
            </w:r>
            <w:r w:rsidR="006D3539" w:rsidRPr="005D12B2">
              <w:rPr>
                <w:rFonts w:ascii="Arial" w:hAnsi="Arial" w:cs="Arial"/>
                <w:color w:val="000000"/>
                <w:sz w:val="18"/>
                <w:szCs w:val="18"/>
                <w:lang w:eastAsia="es-MX"/>
              </w:rPr>
              <w:t>o deterioro</w:t>
            </w:r>
            <w:r w:rsidRPr="005D12B2">
              <w:rPr>
                <w:rFonts w:ascii="Arial" w:hAnsi="Arial" w:cs="Arial"/>
                <w:color w:val="000000"/>
                <w:sz w:val="18"/>
                <w:szCs w:val="18"/>
                <w:lang w:eastAsia="es-MX"/>
              </w:rPr>
              <w:t xml:space="preserve"> u obsolescencia</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5D9D" w:rsidRDefault="00325D9D">
            <w:pPr>
              <w:jc w:val="right"/>
              <w:rPr>
                <w:rFonts w:ascii="Calibri" w:hAnsi="Calibri" w:cs="Calibri"/>
                <w:color w:val="000000"/>
                <w:sz w:val="18"/>
                <w:szCs w:val="18"/>
              </w:rPr>
            </w:pPr>
          </w:p>
        </w:tc>
        <w:tc>
          <w:tcPr>
            <w:tcW w:w="2049" w:type="dxa"/>
            <w:tcBorders>
              <w:top w:val="single" w:sz="4" w:space="0" w:color="auto"/>
              <w:left w:val="nil"/>
              <w:bottom w:val="single" w:sz="4" w:space="0" w:color="auto"/>
              <w:right w:val="single" w:sz="4" w:space="0" w:color="auto"/>
            </w:tcBorders>
            <w:shd w:val="clear" w:color="auto" w:fill="auto"/>
            <w:noWrap/>
            <w:vAlign w:val="bottom"/>
            <w:hideMark/>
          </w:tcPr>
          <w:p w:rsidR="00325D9D" w:rsidRPr="005D12B2" w:rsidRDefault="00325D9D" w:rsidP="005D12B2">
            <w:pPr>
              <w:rPr>
                <w:rFonts w:ascii="Calibri" w:hAnsi="Calibri" w:cs="Calibri"/>
                <w:color w:val="000000"/>
                <w:sz w:val="22"/>
                <w:szCs w:val="22"/>
                <w:lang w:eastAsia="es-MX"/>
              </w:rPr>
            </w:pPr>
            <w:r w:rsidRPr="005D12B2">
              <w:rPr>
                <w:rFonts w:ascii="Calibri" w:hAnsi="Calibri" w:cs="Calibri"/>
                <w:color w:val="000000"/>
                <w:sz w:val="22"/>
                <w:szCs w:val="22"/>
                <w:lang w:eastAsia="es-MX"/>
              </w:rPr>
              <w:t> </w:t>
            </w:r>
          </w:p>
        </w:tc>
      </w:tr>
      <w:tr w:rsidR="00325D9D" w:rsidRPr="005D12B2" w:rsidTr="00EF29D2">
        <w:trPr>
          <w:trHeight w:val="300"/>
          <w:jc w:val="center"/>
        </w:trPr>
        <w:tc>
          <w:tcPr>
            <w:tcW w:w="6864" w:type="dxa"/>
            <w:tcBorders>
              <w:top w:val="nil"/>
              <w:left w:val="single" w:sz="4" w:space="0" w:color="000000"/>
              <w:bottom w:val="single" w:sz="4" w:space="0" w:color="000000"/>
              <w:right w:val="nil"/>
            </w:tcBorders>
            <w:shd w:val="clear" w:color="auto" w:fill="auto"/>
            <w:hideMark/>
          </w:tcPr>
          <w:p w:rsidR="00325D9D" w:rsidRPr="005D12B2" w:rsidRDefault="00325D9D" w:rsidP="005D12B2">
            <w:pPr>
              <w:rPr>
                <w:rFonts w:ascii="Arial" w:hAnsi="Arial" w:cs="Arial"/>
                <w:color w:val="000000"/>
                <w:sz w:val="18"/>
                <w:szCs w:val="18"/>
                <w:lang w:eastAsia="es-MX"/>
              </w:rPr>
            </w:pPr>
            <w:r w:rsidRPr="005D12B2">
              <w:rPr>
                <w:rFonts w:ascii="Arial" w:hAnsi="Arial" w:cs="Arial"/>
                <w:color w:val="000000"/>
                <w:sz w:val="18"/>
                <w:szCs w:val="18"/>
                <w:lang w:eastAsia="es-MX"/>
              </w:rPr>
              <w:t>Aumento por insuficiencia de provisiones</w:t>
            </w:r>
          </w:p>
        </w:tc>
        <w:tc>
          <w:tcPr>
            <w:tcW w:w="1798" w:type="dxa"/>
            <w:tcBorders>
              <w:top w:val="nil"/>
              <w:left w:val="single" w:sz="4" w:space="0" w:color="auto"/>
              <w:bottom w:val="single" w:sz="4" w:space="0" w:color="auto"/>
              <w:right w:val="single" w:sz="4" w:space="0" w:color="auto"/>
            </w:tcBorders>
            <w:shd w:val="clear" w:color="auto" w:fill="auto"/>
            <w:noWrap/>
            <w:vAlign w:val="bottom"/>
            <w:hideMark/>
          </w:tcPr>
          <w:p w:rsidR="00325D9D" w:rsidRDefault="00325D9D" w:rsidP="00474980">
            <w:pPr>
              <w:rPr>
                <w:rFonts w:ascii="Calibri" w:hAnsi="Calibri" w:cs="Calibri"/>
                <w:color w:val="000000"/>
                <w:sz w:val="18"/>
                <w:szCs w:val="18"/>
              </w:rPr>
            </w:pPr>
          </w:p>
        </w:tc>
        <w:tc>
          <w:tcPr>
            <w:tcW w:w="2049" w:type="dxa"/>
            <w:tcBorders>
              <w:top w:val="nil"/>
              <w:left w:val="nil"/>
              <w:bottom w:val="single" w:sz="4" w:space="0" w:color="auto"/>
              <w:right w:val="single" w:sz="4" w:space="0" w:color="auto"/>
            </w:tcBorders>
            <w:shd w:val="clear" w:color="auto" w:fill="auto"/>
            <w:noWrap/>
            <w:vAlign w:val="bottom"/>
            <w:hideMark/>
          </w:tcPr>
          <w:p w:rsidR="00325D9D" w:rsidRPr="005D12B2" w:rsidRDefault="00325D9D" w:rsidP="005D12B2">
            <w:pPr>
              <w:rPr>
                <w:rFonts w:ascii="Calibri" w:hAnsi="Calibri" w:cs="Calibri"/>
                <w:color w:val="000000"/>
                <w:sz w:val="22"/>
                <w:szCs w:val="22"/>
                <w:lang w:eastAsia="es-MX"/>
              </w:rPr>
            </w:pPr>
            <w:r w:rsidRPr="005D12B2">
              <w:rPr>
                <w:rFonts w:ascii="Calibri" w:hAnsi="Calibri" w:cs="Calibri"/>
                <w:color w:val="000000"/>
                <w:sz w:val="22"/>
                <w:szCs w:val="22"/>
                <w:lang w:eastAsia="es-MX"/>
              </w:rPr>
              <w:t> </w:t>
            </w:r>
          </w:p>
        </w:tc>
      </w:tr>
      <w:tr w:rsidR="00325D9D" w:rsidRPr="005D12B2" w:rsidTr="00EF29D2">
        <w:trPr>
          <w:trHeight w:val="300"/>
          <w:jc w:val="center"/>
        </w:trPr>
        <w:tc>
          <w:tcPr>
            <w:tcW w:w="6864" w:type="dxa"/>
            <w:tcBorders>
              <w:top w:val="nil"/>
              <w:left w:val="single" w:sz="4" w:space="0" w:color="000000"/>
              <w:bottom w:val="single" w:sz="4" w:space="0" w:color="000000"/>
              <w:right w:val="nil"/>
            </w:tcBorders>
            <w:shd w:val="clear" w:color="auto" w:fill="auto"/>
            <w:hideMark/>
          </w:tcPr>
          <w:p w:rsidR="00325D9D" w:rsidRPr="005D12B2" w:rsidRDefault="00325D9D" w:rsidP="005D12B2">
            <w:pPr>
              <w:rPr>
                <w:rFonts w:ascii="Arial" w:hAnsi="Arial" w:cs="Arial"/>
                <w:color w:val="000000"/>
                <w:sz w:val="18"/>
                <w:szCs w:val="18"/>
                <w:lang w:eastAsia="es-MX"/>
              </w:rPr>
            </w:pPr>
            <w:r w:rsidRPr="005D12B2">
              <w:rPr>
                <w:rFonts w:ascii="Arial" w:hAnsi="Arial" w:cs="Arial"/>
                <w:color w:val="000000"/>
                <w:sz w:val="18"/>
                <w:szCs w:val="18"/>
                <w:lang w:eastAsia="es-MX"/>
              </w:rPr>
              <w:t>Otros Gastos</w:t>
            </w:r>
          </w:p>
        </w:tc>
        <w:tc>
          <w:tcPr>
            <w:tcW w:w="1798" w:type="dxa"/>
            <w:tcBorders>
              <w:top w:val="nil"/>
              <w:left w:val="single" w:sz="4" w:space="0" w:color="auto"/>
              <w:bottom w:val="single" w:sz="4" w:space="0" w:color="auto"/>
              <w:right w:val="single" w:sz="4" w:space="0" w:color="auto"/>
            </w:tcBorders>
            <w:shd w:val="clear" w:color="auto" w:fill="auto"/>
            <w:noWrap/>
            <w:vAlign w:val="bottom"/>
            <w:hideMark/>
          </w:tcPr>
          <w:p w:rsidR="00325D9D" w:rsidRDefault="00DA681A" w:rsidP="001A300A">
            <w:pPr>
              <w:rPr>
                <w:rFonts w:ascii="Calibri" w:hAnsi="Calibri" w:cs="Calibri"/>
                <w:color w:val="000000"/>
                <w:sz w:val="18"/>
                <w:szCs w:val="18"/>
              </w:rPr>
            </w:pPr>
            <w:r w:rsidRPr="00DA681A">
              <w:rPr>
                <w:rFonts w:ascii="Calibri" w:hAnsi="Calibri" w:cs="Calibri"/>
                <w:color w:val="000000"/>
                <w:sz w:val="18"/>
                <w:szCs w:val="18"/>
              </w:rPr>
              <w:t>$</w:t>
            </w:r>
            <w:r w:rsidR="00474980">
              <w:rPr>
                <w:rFonts w:ascii="Calibri" w:hAnsi="Calibri" w:cs="Calibri"/>
                <w:color w:val="000000"/>
                <w:sz w:val="18"/>
                <w:szCs w:val="18"/>
              </w:rPr>
              <w:t xml:space="preserve">                      </w:t>
            </w:r>
            <w:r w:rsidR="000D76D2">
              <w:rPr>
                <w:rFonts w:ascii="Calibri" w:hAnsi="Calibri" w:cs="Calibri"/>
                <w:color w:val="000000"/>
                <w:sz w:val="18"/>
                <w:szCs w:val="18"/>
              </w:rPr>
              <w:t xml:space="preserve">       </w:t>
            </w:r>
            <w:r w:rsidR="001A300A">
              <w:rPr>
                <w:rFonts w:ascii="Calibri" w:hAnsi="Calibri" w:cs="Calibri"/>
                <w:color w:val="000000"/>
                <w:sz w:val="18"/>
                <w:szCs w:val="18"/>
              </w:rPr>
              <w:t>9.14</w:t>
            </w:r>
          </w:p>
        </w:tc>
        <w:tc>
          <w:tcPr>
            <w:tcW w:w="2049" w:type="dxa"/>
            <w:tcBorders>
              <w:top w:val="nil"/>
              <w:left w:val="nil"/>
              <w:bottom w:val="single" w:sz="4" w:space="0" w:color="auto"/>
              <w:right w:val="single" w:sz="4" w:space="0" w:color="auto"/>
            </w:tcBorders>
            <w:shd w:val="clear" w:color="auto" w:fill="auto"/>
            <w:noWrap/>
            <w:vAlign w:val="bottom"/>
            <w:hideMark/>
          </w:tcPr>
          <w:p w:rsidR="00325D9D" w:rsidRPr="005D12B2" w:rsidRDefault="00325D9D" w:rsidP="005D12B2">
            <w:pPr>
              <w:rPr>
                <w:rFonts w:ascii="Calibri" w:hAnsi="Calibri" w:cs="Calibri"/>
                <w:color w:val="000000"/>
                <w:sz w:val="22"/>
                <w:szCs w:val="22"/>
                <w:lang w:eastAsia="es-MX"/>
              </w:rPr>
            </w:pPr>
            <w:r w:rsidRPr="005D12B2">
              <w:rPr>
                <w:rFonts w:ascii="Calibri" w:hAnsi="Calibri" w:cs="Calibri"/>
                <w:color w:val="000000"/>
                <w:sz w:val="22"/>
                <w:szCs w:val="22"/>
                <w:lang w:eastAsia="es-MX"/>
              </w:rPr>
              <w:t> </w:t>
            </w:r>
          </w:p>
        </w:tc>
      </w:tr>
      <w:tr w:rsidR="00325D9D" w:rsidRPr="005D12B2" w:rsidTr="00EF29D2">
        <w:trPr>
          <w:trHeight w:val="245"/>
          <w:jc w:val="center"/>
        </w:trPr>
        <w:tc>
          <w:tcPr>
            <w:tcW w:w="6864" w:type="dxa"/>
            <w:tcBorders>
              <w:top w:val="nil"/>
              <w:left w:val="single" w:sz="4" w:space="0" w:color="000000"/>
              <w:bottom w:val="single" w:sz="4" w:space="0" w:color="000000"/>
              <w:right w:val="nil"/>
            </w:tcBorders>
            <w:shd w:val="clear" w:color="auto" w:fill="auto"/>
            <w:hideMark/>
          </w:tcPr>
          <w:p w:rsidR="00325D9D" w:rsidRPr="005D12B2" w:rsidRDefault="00325D9D" w:rsidP="005D12B2">
            <w:pPr>
              <w:rPr>
                <w:rFonts w:ascii="Arial" w:hAnsi="Arial" w:cs="Arial"/>
                <w:color w:val="000000"/>
                <w:sz w:val="18"/>
                <w:szCs w:val="18"/>
                <w:lang w:eastAsia="es-MX"/>
              </w:rPr>
            </w:pPr>
            <w:r w:rsidRPr="005D12B2">
              <w:rPr>
                <w:rFonts w:ascii="Arial" w:hAnsi="Arial" w:cs="Arial"/>
                <w:color w:val="000000"/>
                <w:sz w:val="18"/>
                <w:szCs w:val="18"/>
                <w:lang w:eastAsia="es-MX"/>
              </w:rPr>
              <w:t>Otros Gastos Contables No Presupuestales</w:t>
            </w:r>
          </w:p>
        </w:tc>
        <w:tc>
          <w:tcPr>
            <w:tcW w:w="1798" w:type="dxa"/>
            <w:tcBorders>
              <w:top w:val="nil"/>
              <w:left w:val="single" w:sz="4" w:space="0" w:color="auto"/>
              <w:bottom w:val="single" w:sz="4" w:space="0" w:color="auto"/>
              <w:right w:val="single" w:sz="4" w:space="0" w:color="auto"/>
            </w:tcBorders>
            <w:shd w:val="clear" w:color="auto" w:fill="auto"/>
            <w:noWrap/>
            <w:hideMark/>
          </w:tcPr>
          <w:p w:rsidR="00325D9D" w:rsidRPr="00474980" w:rsidRDefault="00325D9D" w:rsidP="00474980">
            <w:pPr>
              <w:rPr>
                <w:rFonts w:ascii="Calibri" w:hAnsi="Calibri" w:cs="Calibri"/>
                <w:color w:val="000000"/>
                <w:sz w:val="18"/>
                <w:szCs w:val="18"/>
              </w:rPr>
            </w:pPr>
          </w:p>
        </w:tc>
        <w:tc>
          <w:tcPr>
            <w:tcW w:w="2049" w:type="dxa"/>
            <w:tcBorders>
              <w:top w:val="nil"/>
              <w:left w:val="nil"/>
              <w:bottom w:val="single" w:sz="4" w:space="0" w:color="auto"/>
              <w:right w:val="single" w:sz="4" w:space="0" w:color="auto"/>
            </w:tcBorders>
            <w:shd w:val="clear" w:color="auto" w:fill="auto"/>
            <w:noWrap/>
            <w:vAlign w:val="bottom"/>
            <w:hideMark/>
          </w:tcPr>
          <w:p w:rsidR="00325D9D" w:rsidRPr="005D12B2" w:rsidRDefault="00325D9D" w:rsidP="005D12B2">
            <w:pPr>
              <w:rPr>
                <w:rFonts w:ascii="Calibri" w:hAnsi="Calibri" w:cs="Calibri"/>
                <w:color w:val="000000"/>
                <w:sz w:val="22"/>
                <w:szCs w:val="22"/>
                <w:lang w:eastAsia="es-MX"/>
              </w:rPr>
            </w:pPr>
            <w:r w:rsidRPr="005D12B2">
              <w:rPr>
                <w:rFonts w:ascii="Calibri" w:hAnsi="Calibri" w:cs="Calibri"/>
                <w:color w:val="000000"/>
                <w:sz w:val="22"/>
                <w:szCs w:val="22"/>
                <w:lang w:eastAsia="es-MX"/>
              </w:rPr>
              <w:t> </w:t>
            </w:r>
          </w:p>
        </w:tc>
      </w:tr>
      <w:tr w:rsidR="00325D9D" w:rsidRPr="005D12B2" w:rsidTr="00EF29D2">
        <w:trPr>
          <w:trHeight w:val="175"/>
          <w:jc w:val="center"/>
        </w:trPr>
        <w:tc>
          <w:tcPr>
            <w:tcW w:w="6864" w:type="dxa"/>
            <w:tcBorders>
              <w:top w:val="single" w:sz="4" w:space="0" w:color="auto"/>
              <w:left w:val="single" w:sz="4" w:space="0" w:color="auto"/>
              <w:bottom w:val="single" w:sz="4" w:space="0" w:color="auto"/>
              <w:right w:val="single" w:sz="4" w:space="0" w:color="auto"/>
            </w:tcBorders>
            <w:shd w:val="clear" w:color="000000" w:fill="A5A5A5"/>
            <w:hideMark/>
          </w:tcPr>
          <w:p w:rsidR="00325D9D" w:rsidRPr="005D12B2" w:rsidRDefault="00325D9D" w:rsidP="005D12B2">
            <w:pPr>
              <w:rPr>
                <w:rFonts w:ascii="Arial" w:hAnsi="Arial" w:cs="Arial"/>
                <w:b/>
                <w:bCs/>
                <w:color w:val="000000"/>
                <w:sz w:val="18"/>
                <w:szCs w:val="18"/>
                <w:lang w:eastAsia="es-MX"/>
              </w:rPr>
            </w:pPr>
            <w:r w:rsidRPr="005D12B2">
              <w:rPr>
                <w:rFonts w:ascii="Arial" w:hAnsi="Arial" w:cs="Arial"/>
                <w:b/>
                <w:bCs/>
                <w:color w:val="000000"/>
                <w:sz w:val="18"/>
                <w:szCs w:val="18"/>
                <w:lang w:eastAsia="es-MX"/>
              </w:rPr>
              <w:t>4. Total de Gasto Contable (4 = 1 - 2 + 3)</w:t>
            </w:r>
          </w:p>
        </w:tc>
        <w:tc>
          <w:tcPr>
            <w:tcW w:w="1798" w:type="dxa"/>
            <w:tcBorders>
              <w:top w:val="single" w:sz="4" w:space="0" w:color="auto"/>
              <w:left w:val="nil"/>
              <w:bottom w:val="single" w:sz="4" w:space="0" w:color="auto"/>
              <w:right w:val="single" w:sz="4" w:space="0" w:color="auto"/>
            </w:tcBorders>
            <w:shd w:val="clear" w:color="auto" w:fill="auto"/>
            <w:hideMark/>
          </w:tcPr>
          <w:p w:rsidR="00325D9D" w:rsidRPr="005D12B2" w:rsidRDefault="00325D9D" w:rsidP="005D12B2">
            <w:pPr>
              <w:rPr>
                <w:rFonts w:ascii="Arial" w:hAnsi="Arial" w:cs="Arial"/>
                <w:b/>
                <w:bCs/>
                <w:color w:val="000000"/>
                <w:sz w:val="18"/>
                <w:szCs w:val="18"/>
                <w:lang w:eastAsia="es-MX"/>
              </w:rPr>
            </w:pPr>
            <w:r w:rsidRPr="005D12B2">
              <w:rPr>
                <w:rFonts w:ascii="Arial" w:hAnsi="Arial" w:cs="Arial"/>
                <w:b/>
                <w:bCs/>
                <w:color w:val="000000"/>
                <w:sz w:val="18"/>
                <w:szCs w:val="18"/>
                <w:lang w:eastAsia="es-MX"/>
              </w:rPr>
              <w:t> </w:t>
            </w:r>
          </w:p>
        </w:tc>
        <w:tc>
          <w:tcPr>
            <w:tcW w:w="2049" w:type="dxa"/>
            <w:tcBorders>
              <w:top w:val="single" w:sz="4" w:space="0" w:color="000000"/>
              <w:left w:val="nil"/>
              <w:bottom w:val="single" w:sz="4" w:space="0" w:color="000000"/>
              <w:right w:val="single" w:sz="4" w:space="0" w:color="000000"/>
            </w:tcBorders>
            <w:shd w:val="clear" w:color="auto" w:fill="auto"/>
            <w:noWrap/>
            <w:hideMark/>
          </w:tcPr>
          <w:p w:rsidR="00325D9D" w:rsidRPr="005D12B2" w:rsidRDefault="00325D9D" w:rsidP="001A300A">
            <w:pPr>
              <w:jc w:val="center"/>
              <w:rPr>
                <w:rFonts w:ascii="Arial" w:hAnsi="Arial" w:cs="Arial"/>
                <w:b/>
                <w:bCs/>
                <w:color w:val="000000"/>
                <w:sz w:val="18"/>
                <w:szCs w:val="18"/>
                <w:lang w:eastAsia="es-MX"/>
              </w:rPr>
            </w:pPr>
            <w:r w:rsidRPr="005D12B2">
              <w:rPr>
                <w:rFonts w:ascii="Arial" w:hAnsi="Arial" w:cs="Arial"/>
                <w:b/>
                <w:bCs/>
                <w:color w:val="000000"/>
                <w:sz w:val="18"/>
                <w:szCs w:val="18"/>
                <w:lang w:eastAsia="es-MX"/>
              </w:rPr>
              <w:t xml:space="preserve"> $</w:t>
            </w:r>
            <w:r w:rsidR="00BB0F41">
              <w:rPr>
                <w:rFonts w:ascii="Arial" w:hAnsi="Arial" w:cs="Arial"/>
                <w:b/>
                <w:bCs/>
                <w:color w:val="000000"/>
                <w:sz w:val="18"/>
                <w:szCs w:val="18"/>
                <w:lang w:eastAsia="es-MX"/>
              </w:rPr>
              <w:t xml:space="preserve">            </w:t>
            </w:r>
            <w:r w:rsidR="001A300A">
              <w:rPr>
                <w:rFonts w:ascii="Arial" w:hAnsi="Arial" w:cs="Arial"/>
                <w:b/>
                <w:bCs/>
                <w:color w:val="000000"/>
                <w:sz w:val="18"/>
                <w:szCs w:val="18"/>
                <w:lang w:eastAsia="es-MX"/>
              </w:rPr>
              <w:t>16,357,957.69</w:t>
            </w:r>
          </w:p>
        </w:tc>
      </w:tr>
    </w:tbl>
    <w:p w:rsidR="0048507C" w:rsidRDefault="0048507C" w:rsidP="00DF3CDB">
      <w:pPr>
        <w:pStyle w:val="Sangradetextonormal"/>
        <w:tabs>
          <w:tab w:val="left" w:pos="7655"/>
        </w:tabs>
        <w:ind w:left="0"/>
        <w:jc w:val="both"/>
        <w:rPr>
          <w:rFonts w:asciiTheme="minorHAnsi" w:hAnsiTheme="minorHAnsi"/>
          <w:b/>
          <w:sz w:val="20"/>
          <w:szCs w:val="20"/>
        </w:rPr>
      </w:pPr>
    </w:p>
    <w:p w:rsidR="00BB0F41" w:rsidRDefault="00BB0F41" w:rsidP="001C5390">
      <w:pPr>
        <w:rPr>
          <w:rFonts w:asciiTheme="minorHAnsi" w:hAnsiTheme="minorHAnsi" w:cstheme="minorHAnsi"/>
          <w:b/>
          <w:sz w:val="20"/>
          <w:szCs w:val="20"/>
          <w:u w:val="single"/>
        </w:rPr>
      </w:pPr>
    </w:p>
    <w:p w:rsidR="00BB0F41" w:rsidRDefault="00BB0F41" w:rsidP="001C5390">
      <w:pPr>
        <w:rPr>
          <w:rFonts w:asciiTheme="minorHAnsi" w:hAnsiTheme="minorHAnsi" w:cstheme="minorHAnsi"/>
          <w:b/>
          <w:sz w:val="20"/>
          <w:szCs w:val="20"/>
          <w:u w:val="single"/>
        </w:rPr>
      </w:pPr>
    </w:p>
    <w:p w:rsidR="00BB0F41" w:rsidRDefault="00BB0F41" w:rsidP="001C5390">
      <w:pPr>
        <w:rPr>
          <w:rFonts w:asciiTheme="minorHAnsi" w:hAnsiTheme="minorHAnsi" w:cstheme="minorHAnsi"/>
          <w:b/>
          <w:sz w:val="20"/>
          <w:szCs w:val="20"/>
          <w:u w:val="single"/>
        </w:rPr>
      </w:pPr>
    </w:p>
    <w:p w:rsidR="00BB0F41" w:rsidRDefault="00BB0F41" w:rsidP="001C5390">
      <w:pPr>
        <w:rPr>
          <w:rFonts w:asciiTheme="minorHAnsi" w:hAnsiTheme="minorHAnsi" w:cstheme="minorHAnsi"/>
          <w:b/>
          <w:sz w:val="20"/>
          <w:szCs w:val="20"/>
          <w:u w:val="single"/>
        </w:rPr>
      </w:pPr>
    </w:p>
    <w:p w:rsidR="001C5390" w:rsidRPr="00E1664D" w:rsidRDefault="001C5390" w:rsidP="001C5390">
      <w:pPr>
        <w:rPr>
          <w:rFonts w:asciiTheme="minorHAnsi" w:hAnsiTheme="minorHAnsi" w:cstheme="minorHAnsi"/>
          <w:b/>
          <w:sz w:val="20"/>
          <w:szCs w:val="20"/>
          <w:u w:val="single"/>
        </w:rPr>
      </w:pPr>
      <w:r w:rsidRPr="00E1664D">
        <w:rPr>
          <w:rFonts w:asciiTheme="minorHAnsi" w:hAnsiTheme="minorHAnsi" w:cstheme="minorHAnsi"/>
          <w:b/>
          <w:sz w:val="20"/>
          <w:szCs w:val="20"/>
          <w:u w:val="single"/>
        </w:rPr>
        <w:lastRenderedPageBreak/>
        <w:t>NOTAS DE MEMORIA</w:t>
      </w:r>
    </w:p>
    <w:p w:rsidR="001C5390" w:rsidRDefault="001C5390" w:rsidP="001C5390">
      <w:pPr>
        <w:rPr>
          <w:rFonts w:asciiTheme="minorHAnsi" w:hAnsiTheme="minorHAnsi" w:cstheme="minorHAnsi"/>
          <w:b/>
          <w:sz w:val="20"/>
          <w:szCs w:val="20"/>
        </w:rPr>
      </w:pPr>
    </w:p>
    <w:p w:rsidR="001C5390" w:rsidRPr="008E4CC7" w:rsidRDefault="001C5390" w:rsidP="001C5390">
      <w:pPr>
        <w:pStyle w:val="Ttulo6"/>
        <w:pBdr>
          <w:bottom w:val="single" w:sz="4" w:space="2" w:color="auto"/>
          <w:right w:val="single" w:sz="4" w:space="0" w:color="auto"/>
        </w:pBdr>
        <w:jc w:val="both"/>
        <w:rPr>
          <w:rFonts w:asciiTheme="minorHAnsi" w:hAnsiTheme="minorHAnsi"/>
          <w:sz w:val="20"/>
          <w:szCs w:val="20"/>
        </w:rPr>
      </w:pPr>
      <w:r w:rsidRPr="00DF3CDB">
        <w:rPr>
          <w:rFonts w:asciiTheme="minorHAnsi" w:hAnsiTheme="minorHAnsi"/>
          <w:sz w:val="20"/>
          <w:szCs w:val="20"/>
        </w:rPr>
        <w:t xml:space="preserve">Nota  </w:t>
      </w:r>
      <w:r>
        <w:rPr>
          <w:rFonts w:asciiTheme="minorHAnsi" w:hAnsiTheme="minorHAnsi"/>
          <w:sz w:val="20"/>
          <w:szCs w:val="20"/>
        </w:rPr>
        <w:t>1</w:t>
      </w:r>
      <w:r w:rsidR="000B3BCC">
        <w:rPr>
          <w:rFonts w:asciiTheme="minorHAnsi" w:hAnsiTheme="minorHAnsi"/>
          <w:sz w:val="20"/>
          <w:szCs w:val="20"/>
        </w:rPr>
        <w:t>1</w:t>
      </w:r>
      <w:r>
        <w:rPr>
          <w:rFonts w:asciiTheme="minorHAnsi" w:hAnsiTheme="minorHAnsi"/>
          <w:sz w:val="20"/>
          <w:szCs w:val="20"/>
        </w:rPr>
        <w:t xml:space="preserve"> Cuentas de Orden Presupuestal</w:t>
      </w:r>
    </w:p>
    <w:p w:rsidR="001C5390" w:rsidRPr="00552982" w:rsidRDefault="001C5390" w:rsidP="001C5390">
      <w:pPr>
        <w:rPr>
          <w:rFonts w:asciiTheme="minorHAnsi" w:hAnsiTheme="minorHAnsi" w:cstheme="minorHAnsi"/>
          <w:b/>
          <w:sz w:val="20"/>
          <w:szCs w:val="20"/>
        </w:rPr>
      </w:pPr>
    </w:p>
    <w:p w:rsidR="001C5390" w:rsidRPr="00E1664D" w:rsidRDefault="001C5390" w:rsidP="001C5390">
      <w:pPr>
        <w:pStyle w:val="Sangradetextonormal"/>
        <w:tabs>
          <w:tab w:val="left" w:pos="7655"/>
        </w:tabs>
        <w:ind w:left="0"/>
        <w:jc w:val="both"/>
        <w:rPr>
          <w:rFonts w:asciiTheme="minorHAnsi" w:hAnsiTheme="minorHAnsi"/>
          <w:sz w:val="20"/>
          <w:szCs w:val="20"/>
        </w:rPr>
      </w:pPr>
      <w:r>
        <w:rPr>
          <w:rFonts w:asciiTheme="minorHAnsi" w:hAnsiTheme="minorHAnsi"/>
          <w:sz w:val="20"/>
          <w:szCs w:val="20"/>
        </w:rPr>
        <w:t xml:space="preserve">Al </w:t>
      </w:r>
      <w:r w:rsidR="004211AA">
        <w:rPr>
          <w:rFonts w:asciiTheme="minorHAnsi" w:hAnsiTheme="minorHAnsi"/>
          <w:sz w:val="20"/>
          <w:szCs w:val="20"/>
        </w:rPr>
        <w:t xml:space="preserve">31 de </w:t>
      </w:r>
      <w:r w:rsidR="00900104">
        <w:rPr>
          <w:rFonts w:asciiTheme="minorHAnsi" w:hAnsiTheme="minorHAnsi"/>
          <w:sz w:val="20"/>
          <w:szCs w:val="20"/>
        </w:rPr>
        <w:t>marzo</w:t>
      </w:r>
      <w:r w:rsidR="00396DD0">
        <w:rPr>
          <w:rFonts w:asciiTheme="minorHAnsi" w:hAnsiTheme="minorHAnsi"/>
          <w:sz w:val="20"/>
          <w:szCs w:val="20"/>
        </w:rPr>
        <w:t xml:space="preserve"> </w:t>
      </w:r>
      <w:r w:rsidR="005C5272">
        <w:rPr>
          <w:rFonts w:asciiTheme="minorHAnsi" w:hAnsiTheme="minorHAnsi"/>
          <w:sz w:val="20"/>
          <w:szCs w:val="20"/>
        </w:rPr>
        <w:t>de 201</w:t>
      </w:r>
      <w:r w:rsidR="00396DD0">
        <w:rPr>
          <w:rFonts w:asciiTheme="minorHAnsi" w:hAnsiTheme="minorHAnsi"/>
          <w:sz w:val="20"/>
          <w:szCs w:val="20"/>
        </w:rPr>
        <w:t>8</w:t>
      </w:r>
      <w:r>
        <w:rPr>
          <w:rFonts w:asciiTheme="minorHAnsi" w:hAnsiTheme="minorHAnsi"/>
          <w:sz w:val="20"/>
          <w:szCs w:val="20"/>
        </w:rPr>
        <w:t xml:space="preserve"> e</w:t>
      </w:r>
      <w:r w:rsidRPr="00E1664D">
        <w:rPr>
          <w:rFonts w:asciiTheme="minorHAnsi" w:hAnsiTheme="minorHAnsi"/>
          <w:sz w:val="20"/>
          <w:szCs w:val="20"/>
        </w:rPr>
        <w:t>n cumplimiento a lo establecido en la Ley General de Contabilidad Gubernamental, los momentos contables de los ingresos y de los egresos se registran en cuentas de orden presupuestal:</w:t>
      </w:r>
    </w:p>
    <w:p w:rsidR="001C5390" w:rsidRDefault="001C5390" w:rsidP="001C5390">
      <w:pPr>
        <w:pStyle w:val="Sangradetextonormal"/>
        <w:tabs>
          <w:tab w:val="left" w:pos="7655"/>
        </w:tabs>
        <w:ind w:left="0"/>
        <w:jc w:val="both"/>
        <w:rPr>
          <w:rFonts w:asciiTheme="minorHAnsi" w:hAnsiTheme="minorHAnsi"/>
          <w:b/>
          <w:sz w:val="20"/>
          <w:szCs w:val="20"/>
        </w:rPr>
      </w:pPr>
    </w:p>
    <w:tbl>
      <w:tblPr>
        <w:tblStyle w:val="Tablaconcuadrcula"/>
        <w:tblW w:w="0" w:type="auto"/>
        <w:jc w:val="center"/>
        <w:tblInd w:w="4087" w:type="dxa"/>
        <w:tblLook w:val="04A0" w:firstRow="1" w:lastRow="0" w:firstColumn="1" w:lastColumn="0" w:noHBand="0" w:noVBand="1"/>
      </w:tblPr>
      <w:tblGrid>
        <w:gridCol w:w="854"/>
        <w:gridCol w:w="3677"/>
        <w:gridCol w:w="1998"/>
      </w:tblGrid>
      <w:tr w:rsidR="001C5390" w:rsidTr="001C5390">
        <w:trPr>
          <w:jc w:val="center"/>
        </w:trPr>
        <w:tc>
          <w:tcPr>
            <w:tcW w:w="854" w:type="dxa"/>
          </w:tcPr>
          <w:p w:rsidR="001C5390" w:rsidRPr="00DB4D74" w:rsidRDefault="001C5390" w:rsidP="001C5390">
            <w:pPr>
              <w:jc w:val="center"/>
              <w:rPr>
                <w:rFonts w:asciiTheme="minorHAnsi" w:hAnsiTheme="minorHAnsi" w:cstheme="minorHAnsi"/>
                <w:bCs/>
                <w:color w:val="000000"/>
                <w:sz w:val="22"/>
                <w:szCs w:val="22"/>
                <w:u w:val="single"/>
              </w:rPr>
            </w:pPr>
            <w:r>
              <w:rPr>
                <w:rFonts w:asciiTheme="minorHAnsi" w:hAnsiTheme="minorHAnsi" w:cstheme="minorHAnsi"/>
                <w:bCs/>
                <w:color w:val="000000"/>
                <w:sz w:val="22"/>
                <w:szCs w:val="22"/>
                <w:u w:val="single"/>
              </w:rPr>
              <w:t>Cuenta</w:t>
            </w:r>
          </w:p>
        </w:tc>
        <w:tc>
          <w:tcPr>
            <w:tcW w:w="3677" w:type="dxa"/>
          </w:tcPr>
          <w:p w:rsidR="001C5390" w:rsidRPr="00DB4D74" w:rsidRDefault="001C5390" w:rsidP="001C5390">
            <w:pPr>
              <w:jc w:val="center"/>
              <w:rPr>
                <w:rFonts w:asciiTheme="minorHAnsi" w:hAnsiTheme="minorHAnsi" w:cstheme="minorHAnsi"/>
                <w:bCs/>
                <w:color w:val="000000"/>
                <w:sz w:val="22"/>
                <w:szCs w:val="22"/>
                <w:u w:val="single"/>
              </w:rPr>
            </w:pPr>
            <w:r w:rsidRPr="00DB4D74">
              <w:rPr>
                <w:rFonts w:asciiTheme="minorHAnsi" w:hAnsiTheme="minorHAnsi" w:cstheme="minorHAnsi"/>
                <w:bCs/>
                <w:color w:val="000000"/>
                <w:sz w:val="22"/>
                <w:szCs w:val="22"/>
                <w:u w:val="single"/>
              </w:rPr>
              <w:t xml:space="preserve">   LEY DE INGRESOS  </w:t>
            </w:r>
          </w:p>
        </w:tc>
        <w:tc>
          <w:tcPr>
            <w:tcW w:w="1998" w:type="dxa"/>
          </w:tcPr>
          <w:p w:rsidR="001C5390" w:rsidRDefault="001C5390" w:rsidP="001C5390">
            <w:pPr>
              <w:rPr>
                <w:rFonts w:ascii="Arial" w:hAnsi="Arial" w:cs="Arial"/>
                <w:b/>
                <w:bCs/>
                <w:color w:val="000000"/>
                <w:sz w:val="20"/>
                <w:szCs w:val="20"/>
                <w:u w:val="single"/>
              </w:rPr>
            </w:pPr>
          </w:p>
        </w:tc>
      </w:tr>
      <w:tr w:rsidR="00C93567" w:rsidTr="001C5390">
        <w:trPr>
          <w:jc w:val="center"/>
        </w:trPr>
        <w:tc>
          <w:tcPr>
            <w:tcW w:w="854" w:type="dxa"/>
          </w:tcPr>
          <w:p w:rsidR="00C93567" w:rsidRPr="00DB4D74" w:rsidRDefault="00C93567" w:rsidP="001C5390">
            <w:pPr>
              <w:rPr>
                <w:rFonts w:asciiTheme="minorHAnsi" w:hAnsiTheme="minorHAnsi" w:cstheme="minorHAnsi"/>
                <w:color w:val="000000"/>
                <w:sz w:val="20"/>
                <w:szCs w:val="20"/>
              </w:rPr>
            </w:pPr>
            <w:r>
              <w:rPr>
                <w:rFonts w:asciiTheme="minorHAnsi" w:hAnsiTheme="minorHAnsi" w:cstheme="minorHAnsi"/>
                <w:color w:val="000000"/>
                <w:sz w:val="20"/>
                <w:szCs w:val="20"/>
              </w:rPr>
              <w:t>8110</w:t>
            </w:r>
          </w:p>
        </w:tc>
        <w:tc>
          <w:tcPr>
            <w:tcW w:w="3677" w:type="dxa"/>
          </w:tcPr>
          <w:p w:rsidR="00C93567" w:rsidRPr="00DB4D74" w:rsidRDefault="00C93567" w:rsidP="001C5390">
            <w:pPr>
              <w:rPr>
                <w:rFonts w:asciiTheme="minorHAnsi" w:hAnsiTheme="minorHAnsi" w:cstheme="minorHAnsi"/>
                <w:color w:val="000000"/>
                <w:sz w:val="20"/>
                <w:szCs w:val="20"/>
              </w:rPr>
            </w:pPr>
            <w:r w:rsidRPr="00DB4D74">
              <w:rPr>
                <w:rFonts w:asciiTheme="minorHAnsi" w:hAnsiTheme="minorHAnsi" w:cstheme="minorHAnsi"/>
                <w:color w:val="000000"/>
                <w:sz w:val="20"/>
                <w:szCs w:val="20"/>
              </w:rPr>
              <w:t xml:space="preserve">     Ley de Ingresos Estimada</w:t>
            </w:r>
          </w:p>
        </w:tc>
        <w:tc>
          <w:tcPr>
            <w:tcW w:w="1998" w:type="dxa"/>
          </w:tcPr>
          <w:p w:rsidR="00C93567" w:rsidRPr="00C93567" w:rsidRDefault="00DF7C87" w:rsidP="001A300A">
            <w:pPr>
              <w:jc w:val="right"/>
              <w:rPr>
                <w:rFonts w:ascii="Calibri" w:hAnsi="Calibri" w:cs="Calibri"/>
                <w:color w:val="000000"/>
                <w:sz w:val="18"/>
                <w:szCs w:val="18"/>
              </w:rPr>
            </w:pPr>
            <w:r>
              <w:rPr>
                <w:rFonts w:ascii="Calibri" w:hAnsi="Calibri" w:cs="Calibri"/>
                <w:color w:val="000000"/>
                <w:sz w:val="18"/>
                <w:szCs w:val="18"/>
              </w:rPr>
              <w:t>$</w:t>
            </w:r>
            <w:r w:rsidR="001A300A">
              <w:rPr>
                <w:rFonts w:ascii="Calibri" w:hAnsi="Calibri" w:cs="Calibri"/>
                <w:color w:val="000000"/>
                <w:sz w:val="18"/>
                <w:szCs w:val="18"/>
              </w:rPr>
              <w:t>67,719,693.00</w:t>
            </w:r>
          </w:p>
        </w:tc>
      </w:tr>
      <w:tr w:rsidR="00C93567" w:rsidTr="001C5390">
        <w:trPr>
          <w:trHeight w:val="177"/>
          <w:jc w:val="center"/>
        </w:trPr>
        <w:tc>
          <w:tcPr>
            <w:tcW w:w="854" w:type="dxa"/>
          </w:tcPr>
          <w:p w:rsidR="00C93567" w:rsidRPr="00DB4D74" w:rsidRDefault="00C93567" w:rsidP="001C5390">
            <w:pPr>
              <w:rPr>
                <w:rFonts w:asciiTheme="minorHAnsi" w:hAnsiTheme="minorHAnsi" w:cstheme="minorHAnsi"/>
                <w:color w:val="000000"/>
                <w:sz w:val="20"/>
                <w:szCs w:val="20"/>
              </w:rPr>
            </w:pPr>
            <w:r>
              <w:rPr>
                <w:rFonts w:asciiTheme="minorHAnsi" w:hAnsiTheme="minorHAnsi" w:cstheme="minorHAnsi"/>
                <w:color w:val="000000"/>
                <w:sz w:val="20"/>
                <w:szCs w:val="20"/>
              </w:rPr>
              <w:t>8120</w:t>
            </w:r>
          </w:p>
        </w:tc>
        <w:tc>
          <w:tcPr>
            <w:tcW w:w="3677" w:type="dxa"/>
          </w:tcPr>
          <w:p w:rsidR="00C93567" w:rsidRPr="00DB4D74" w:rsidRDefault="00C93567" w:rsidP="001C5390">
            <w:pPr>
              <w:rPr>
                <w:rFonts w:asciiTheme="minorHAnsi" w:hAnsiTheme="minorHAnsi" w:cstheme="minorHAnsi"/>
                <w:color w:val="000000"/>
                <w:sz w:val="20"/>
                <w:szCs w:val="20"/>
              </w:rPr>
            </w:pPr>
            <w:r w:rsidRPr="00DB4D74">
              <w:rPr>
                <w:rFonts w:asciiTheme="minorHAnsi" w:hAnsiTheme="minorHAnsi" w:cstheme="minorHAnsi"/>
                <w:color w:val="000000"/>
                <w:sz w:val="20"/>
                <w:szCs w:val="20"/>
              </w:rPr>
              <w:t xml:space="preserve">     Ley de Ingresos Por Ejecutar</w:t>
            </w:r>
          </w:p>
        </w:tc>
        <w:tc>
          <w:tcPr>
            <w:tcW w:w="1998" w:type="dxa"/>
          </w:tcPr>
          <w:p w:rsidR="00C93567" w:rsidRPr="00C93567" w:rsidRDefault="004A5885" w:rsidP="001A300A">
            <w:pPr>
              <w:jc w:val="right"/>
              <w:rPr>
                <w:rFonts w:ascii="Calibri" w:hAnsi="Calibri" w:cs="Calibri"/>
                <w:color w:val="000000"/>
                <w:sz w:val="18"/>
                <w:szCs w:val="18"/>
              </w:rPr>
            </w:pPr>
            <w:r w:rsidRPr="004A5885">
              <w:rPr>
                <w:rFonts w:ascii="Calibri" w:hAnsi="Calibri" w:cs="Calibri"/>
                <w:color w:val="000000"/>
                <w:sz w:val="18"/>
                <w:szCs w:val="18"/>
              </w:rPr>
              <w:t>$</w:t>
            </w:r>
            <w:r w:rsidR="001A300A">
              <w:rPr>
                <w:rFonts w:ascii="Calibri" w:hAnsi="Calibri" w:cs="Calibri"/>
                <w:color w:val="000000"/>
                <w:sz w:val="18"/>
                <w:szCs w:val="18"/>
              </w:rPr>
              <w:t>47,890,633.61</w:t>
            </w:r>
          </w:p>
        </w:tc>
      </w:tr>
      <w:tr w:rsidR="00C93567" w:rsidTr="001C5390">
        <w:trPr>
          <w:jc w:val="center"/>
        </w:trPr>
        <w:tc>
          <w:tcPr>
            <w:tcW w:w="854" w:type="dxa"/>
          </w:tcPr>
          <w:p w:rsidR="00C93567" w:rsidRPr="00DB4D74" w:rsidRDefault="00C93567" w:rsidP="001C5390">
            <w:pPr>
              <w:rPr>
                <w:rFonts w:asciiTheme="minorHAnsi" w:hAnsiTheme="minorHAnsi" w:cstheme="minorHAnsi"/>
                <w:color w:val="000000"/>
                <w:sz w:val="20"/>
                <w:szCs w:val="20"/>
              </w:rPr>
            </w:pPr>
            <w:r>
              <w:rPr>
                <w:rFonts w:asciiTheme="minorHAnsi" w:hAnsiTheme="minorHAnsi" w:cstheme="minorHAnsi"/>
                <w:color w:val="000000"/>
                <w:sz w:val="20"/>
                <w:szCs w:val="20"/>
              </w:rPr>
              <w:t>8140</w:t>
            </w:r>
          </w:p>
        </w:tc>
        <w:tc>
          <w:tcPr>
            <w:tcW w:w="3677" w:type="dxa"/>
          </w:tcPr>
          <w:p w:rsidR="00C93567" w:rsidRPr="00DB4D74" w:rsidRDefault="00C93567" w:rsidP="001C5390">
            <w:pPr>
              <w:rPr>
                <w:rFonts w:asciiTheme="minorHAnsi" w:hAnsiTheme="minorHAnsi" w:cstheme="minorHAnsi"/>
                <w:color w:val="000000"/>
                <w:sz w:val="20"/>
                <w:szCs w:val="20"/>
              </w:rPr>
            </w:pPr>
            <w:r w:rsidRPr="00DB4D74">
              <w:rPr>
                <w:rFonts w:asciiTheme="minorHAnsi" w:hAnsiTheme="minorHAnsi" w:cstheme="minorHAnsi"/>
                <w:color w:val="000000"/>
                <w:sz w:val="20"/>
                <w:szCs w:val="20"/>
              </w:rPr>
              <w:t xml:space="preserve">     Ley de Ingresos Devengada</w:t>
            </w:r>
          </w:p>
        </w:tc>
        <w:tc>
          <w:tcPr>
            <w:tcW w:w="1998" w:type="dxa"/>
          </w:tcPr>
          <w:p w:rsidR="00C93567" w:rsidRPr="00C93567" w:rsidRDefault="004A5885" w:rsidP="001A300A">
            <w:pPr>
              <w:jc w:val="right"/>
              <w:rPr>
                <w:rFonts w:ascii="Calibri" w:hAnsi="Calibri" w:cs="Calibri"/>
                <w:color w:val="000000"/>
                <w:sz w:val="18"/>
                <w:szCs w:val="18"/>
              </w:rPr>
            </w:pPr>
            <w:r w:rsidRPr="004A5885">
              <w:rPr>
                <w:rFonts w:ascii="Calibri" w:hAnsi="Calibri" w:cs="Calibri"/>
                <w:color w:val="000000"/>
                <w:sz w:val="18"/>
                <w:szCs w:val="18"/>
              </w:rPr>
              <w:t>$</w:t>
            </w:r>
            <w:r w:rsidR="001A300A">
              <w:rPr>
                <w:rFonts w:ascii="Calibri" w:hAnsi="Calibri" w:cs="Calibri"/>
                <w:color w:val="000000"/>
                <w:sz w:val="18"/>
                <w:szCs w:val="18"/>
              </w:rPr>
              <w:t>19,829,059.39</w:t>
            </w:r>
          </w:p>
        </w:tc>
      </w:tr>
      <w:tr w:rsidR="00C93567" w:rsidTr="001C5390">
        <w:trPr>
          <w:jc w:val="center"/>
        </w:trPr>
        <w:tc>
          <w:tcPr>
            <w:tcW w:w="854" w:type="dxa"/>
          </w:tcPr>
          <w:p w:rsidR="00C93567" w:rsidRPr="00DB4D74" w:rsidRDefault="00C93567" w:rsidP="001C5390">
            <w:pPr>
              <w:rPr>
                <w:rFonts w:asciiTheme="minorHAnsi" w:hAnsiTheme="minorHAnsi" w:cstheme="minorHAnsi"/>
                <w:color w:val="000000"/>
                <w:sz w:val="20"/>
                <w:szCs w:val="20"/>
              </w:rPr>
            </w:pPr>
            <w:r>
              <w:rPr>
                <w:rFonts w:asciiTheme="minorHAnsi" w:hAnsiTheme="minorHAnsi" w:cstheme="minorHAnsi"/>
                <w:color w:val="000000"/>
                <w:sz w:val="20"/>
                <w:szCs w:val="20"/>
              </w:rPr>
              <w:t>8150</w:t>
            </w:r>
          </w:p>
        </w:tc>
        <w:tc>
          <w:tcPr>
            <w:tcW w:w="3677" w:type="dxa"/>
          </w:tcPr>
          <w:p w:rsidR="00C93567" w:rsidRPr="00DB4D74" w:rsidRDefault="00C93567" w:rsidP="001C5390">
            <w:pPr>
              <w:rPr>
                <w:rFonts w:asciiTheme="minorHAnsi" w:hAnsiTheme="minorHAnsi" w:cstheme="minorHAnsi"/>
                <w:color w:val="000000"/>
                <w:sz w:val="20"/>
                <w:szCs w:val="20"/>
              </w:rPr>
            </w:pPr>
            <w:r w:rsidRPr="00DB4D74">
              <w:rPr>
                <w:rFonts w:asciiTheme="minorHAnsi" w:hAnsiTheme="minorHAnsi" w:cstheme="minorHAnsi"/>
                <w:color w:val="000000"/>
                <w:sz w:val="20"/>
                <w:szCs w:val="20"/>
              </w:rPr>
              <w:t xml:space="preserve">     Ley de Ingresos Recaudada</w:t>
            </w:r>
          </w:p>
        </w:tc>
        <w:tc>
          <w:tcPr>
            <w:tcW w:w="1998" w:type="dxa"/>
          </w:tcPr>
          <w:p w:rsidR="00C93567" w:rsidRPr="00C93567" w:rsidRDefault="004A5885" w:rsidP="001A300A">
            <w:pPr>
              <w:jc w:val="right"/>
              <w:rPr>
                <w:rFonts w:ascii="Calibri" w:hAnsi="Calibri" w:cs="Calibri"/>
                <w:color w:val="000000"/>
                <w:sz w:val="18"/>
                <w:szCs w:val="18"/>
              </w:rPr>
            </w:pPr>
            <w:r w:rsidRPr="004A5885">
              <w:rPr>
                <w:rFonts w:ascii="Calibri" w:hAnsi="Calibri" w:cs="Calibri"/>
                <w:color w:val="000000"/>
                <w:sz w:val="18"/>
                <w:szCs w:val="18"/>
              </w:rPr>
              <w:t>$</w:t>
            </w:r>
            <w:r w:rsidR="001A300A">
              <w:rPr>
                <w:rFonts w:ascii="Calibri" w:hAnsi="Calibri" w:cs="Calibri"/>
                <w:color w:val="000000"/>
                <w:sz w:val="18"/>
                <w:szCs w:val="18"/>
              </w:rPr>
              <w:t>19,829,059.39</w:t>
            </w:r>
          </w:p>
        </w:tc>
      </w:tr>
      <w:tr w:rsidR="001C5390" w:rsidTr="001C5390">
        <w:trPr>
          <w:jc w:val="center"/>
        </w:trPr>
        <w:tc>
          <w:tcPr>
            <w:tcW w:w="854" w:type="dxa"/>
          </w:tcPr>
          <w:p w:rsidR="001C5390" w:rsidRPr="00DB4D74" w:rsidRDefault="001C5390" w:rsidP="001C5390">
            <w:pPr>
              <w:jc w:val="center"/>
              <w:rPr>
                <w:rFonts w:asciiTheme="minorHAnsi" w:hAnsiTheme="minorHAnsi" w:cstheme="minorHAnsi"/>
                <w:bCs/>
                <w:color w:val="000000"/>
                <w:sz w:val="22"/>
                <w:szCs w:val="22"/>
                <w:u w:val="single"/>
              </w:rPr>
            </w:pPr>
          </w:p>
        </w:tc>
        <w:tc>
          <w:tcPr>
            <w:tcW w:w="3677" w:type="dxa"/>
          </w:tcPr>
          <w:p w:rsidR="001C5390" w:rsidRPr="00DB4D74" w:rsidRDefault="001C5390" w:rsidP="001C5390">
            <w:pPr>
              <w:jc w:val="center"/>
              <w:rPr>
                <w:rFonts w:asciiTheme="minorHAnsi" w:hAnsiTheme="minorHAnsi" w:cstheme="minorHAnsi"/>
                <w:sz w:val="22"/>
                <w:szCs w:val="22"/>
              </w:rPr>
            </w:pPr>
            <w:r w:rsidRPr="00DB4D74">
              <w:rPr>
                <w:rFonts w:asciiTheme="minorHAnsi" w:hAnsiTheme="minorHAnsi" w:cstheme="minorHAnsi"/>
                <w:bCs/>
                <w:color w:val="000000"/>
                <w:sz w:val="22"/>
                <w:szCs w:val="22"/>
                <w:u w:val="single"/>
              </w:rPr>
              <w:t xml:space="preserve">   PRESUPUESTO DE EGRESOS </w:t>
            </w:r>
          </w:p>
        </w:tc>
        <w:tc>
          <w:tcPr>
            <w:tcW w:w="1998" w:type="dxa"/>
          </w:tcPr>
          <w:p w:rsidR="001C5390" w:rsidRPr="00D93637" w:rsidRDefault="001C5390" w:rsidP="001C5390">
            <w:pPr>
              <w:pStyle w:val="Sangradetextonormal"/>
              <w:tabs>
                <w:tab w:val="left" w:pos="7655"/>
              </w:tabs>
              <w:ind w:left="0"/>
              <w:jc w:val="right"/>
              <w:rPr>
                <w:rFonts w:asciiTheme="minorHAnsi" w:hAnsiTheme="minorHAnsi"/>
                <w:b/>
                <w:sz w:val="18"/>
                <w:szCs w:val="18"/>
              </w:rPr>
            </w:pPr>
          </w:p>
        </w:tc>
      </w:tr>
      <w:tr w:rsidR="00504772" w:rsidTr="006E51EE">
        <w:trPr>
          <w:jc w:val="center"/>
        </w:trPr>
        <w:tc>
          <w:tcPr>
            <w:tcW w:w="854" w:type="dxa"/>
          </w:tcPr>
          <w:p w:rsidR="00504772" w:rsidRPr="00DB4D74" w:rsidRDefault="00504772" w:rsidP="001C5390">
            <w:pPr>
              <w:rPr>
                <w:rFonts w:asciiTheme="minorHAnsi" w:hAnsiTheme="minorHAnsi" w:cstheme="minorHAnsi"/>
                <w:color w:val="000000"/>
                <w:sz w:val="20"/>
                <w:szCs w:val="20"/>
              </w:rPr>
            </w:pPr>
            <w:r>
              <w:rPr>
                <w:rFonts w:asciiTheme="minorHAnsi" w:hAnsiTheme="minorHAnsi" w:cstheme="minorHAnsi"/>
                <w:color w:val="000000"/>
                <w:sz w:val="20"/>
                <w:szCs w:val="20"/>
              </w:rPr>
              <w:t>8210</w:t>
            </w:r>
          </w:p>
        </w:tc>
        <w:tc>
          <w:tcPr>
            <w:tcW w:w="3677" w:type="dxa"/>
          </w:tcPr>
          <w:p w:rsidR="00504772" w:rsidRPr="00DB4D74" w:rsidRDefault="00504772" w:rsidP="001C5390">
            <w:pPr>
              <w:rPr>
                <w:rFonts w:asciiTheme="minorHAnsi" w:hAnsiTheme="minorHAnsi" w:cstheme="minorHAnsi"/>
                <w:color w:val="000000"/>
                <w:sz w:val="20"/>
                <w:szCs w:val="20"/>
              </w:rPr>
            </w:pPr>
            <w:r w:rsidRPr="00DB4D74">
              <w:rPr>
                <w:rFonts w:asciiTheme="minorHAnsi" w:hAnsiTheme="minorHAnsi" w:cstheme="minorHAnsi"/>
                <w:color w:val="000000"/>
                <w:sz w:val="20"/>
                <w:szCs w:val="20"/>
              </w:rPr>
              <w:t xml:space="preserve">     Presupuesto de Egresos Aprobado</w:t>
            </w:r>
          </w:p>
        </w:tc>
        <w:tc>
          <w:tcPr>
            <w:tcW w:w="1998" w:type="dxa"/>
          </w:tcPr>
          <w:p w:rsidR="00504772" w:rsidRPr="00504772" w:rsidRDefault="0072434C" w:rsidP="001A300A">
            <w:pPr>
              <w:jc w:val="right"/>
              <w:rPr>
                <w:rFonts w:ascii="Calibri" w:hAnsi="Calibri" w:cs="Calibri"/>
                <w:color w:val="000000"/>
                <w:sz w:val="18"/>
                <w:szCs w:val="18"/>
              </w:rPr>
            </w:pPr>
            <w:r>
              <w:rPr>
                <w:rFonts w:ascii="Calibri" w:hAnsi="Calibri" w:cs="Calibri"/>
                <w:color w:val="000000"/>
                <w:sz w:val="18"/>
                <w:szCs w:val="18"/>
              </w:rPr>
              <w:t>$</w:t>
            </w:r>
            <w:r w:rsidR="001A300A">
              <w:rPr>
                <w:rFonts w:ascii="Calibri" w:hAnsi="Calibri" w:cs="Calibri"/>
                <w:color w:val="000000"/>
                <w:sz w:val="18"/>
                <w:szCs w:val="18"/>
              </w:rPr>
              <w:t>67,895,193.00</w:t>
            </w:r>
          </w:p>
        </w:tc>
      </w:tr>
      <w:tr w:rsidR="00504772" w:rsidTr="006E51EE">
        <w:trPr>
          <w:jc w:val="center"/>
        </w:trPr>
        <w:tc>
          <w:tcPr>
            <w:tcW w:w="854" w:type="dxa"/>
          </w:tcPr>
          <w:p w:rsidR="00504772" w:rsidRPr="00DB4D74" w:rsidRDefault="00504772" w:rsidP="001C5390">
            <w:pPr>
              <w:rPr>
                <w:rFonts w:asciiTheme="minorHAnsi" w:hAnsiTheme="minorHAnsi" w:cstheme="minorHAnsi"/>
                <w:color w:val="000000"/>
                <w:sz w:val="20"/>
                <w:szCs w:val="20"/>
              </w:rPr>
            </w:pPr>
            <w:r>
              <w:rPr>
                <w:rFonts w:asciiTheme="minorHAnsi" w:hAnsiTheme="minorHAnsi" w:cstheme="minorHAnsi"/>
                <w:color w:val="000000"/>
                <w:sz w:val="20"/>
                <w:szCs w:val="20"/>
              </w:rPr>
              <w:t>8220</w:t>
            </w:r>
          </w:p>
        </w:tc>
        <w:tc>
          <w:tcPr>
            <w:tcW w:w="3677" w:type="dxa"/>
          </w:tcPr>
          <w:p w:rsidR="00504772" w:rsidRPr="00DB4D74" w:rsidRDefault="00504772" w:rsidP="001C5390">
            <w:pPr>
              <w:rPr>
                <w:rFonts w:asciiTheme="minorHAnsi" w:hAnsiTheme="minorHAnsi" w:cstheme="minorHAnsi"/>
                <w:color w:val="000000"/>
                <w:sz w:val="20"/>
                <w:szCs w:val="20"/>
              </w:rPr>
            </w:pPr>
            <w:r w:rsidRPr="00DB4D74">
              <w:rPr>
                <w:rFonts w:asciiTheme="minorHAnsi" w:hAnsiTheme="minorHAnsi" w:cstheme="minorHAnsi"/>
                <w:color w:val="000000"/>
                <w:sz w:val="20"/>
                <w:szCs w:val="20"/>
              </w:rPr>
              <w:t xml:space="preserve">     Presupuesto de Egresos Por Ejercer</w:t>
            </w:r>
          </w:p>
        </w:tc>
        <w:tc>
          <w:tcPr>
            <w:tcW w:w="1998" w:type="dxa"/>
          </w:tcPr>
          <w:p w:rsidR="00504772" w:rsidRPr="00504772" w:rsidRDefault="005C16B9" w:rsidP="001A300A">
            <w:pPr>
              <w:jc w:val="right"/>
              <w:rPr>
                <w:rFonts w:ascii="Calibri" w:hAnsi="Calibri" w:cs="Calibri"/>
                <w:color w:val="000000"/>
                <w:sz w:val="18"/>
                <w:szCs w:val="18"/>
              </w:rPr>
            </w:pPr>
            <w:r w:rsidRPr="005C16B9">
              <w:rPr>
                <w:rFonts w:ascii="Calibri" w:hAnsi="Calibri" w:cs="Calibri"/>
                <w:color w:val="000000"/>
                <w:sz w:val="18"/>
                <w:szCs w:val="18"/>
              </w:rPr>
              <w:t>$</w:t>
            </w:r>
            <w:r w:rsidR="001A300A">
              <w:rPr>
                <w:rFonts w:ascii="Calibri" w:hAnsi="Calibri" w:cs="Calibri"/>
                <w:color w:val="000000"/>
                <w:sz w:val="18"/>
                <w:szCs w:val="18"/>
              </w:rPr>
              <w:t>51,375,867.39</w:t>
            </w:r>
          </w:p>
        </w:tc>
      </w:tr>
      <w:tr w:rsidR="00504772" w:rsidTr="006E51EE">
        <w:trPr>
          <w:jc w:val="center"/>
        </w:trPr>
        <w:tc>
          <w:tcPr>
            <w:tcW w:w="854" w:type="dxa"/>
          </w:tcPr>
          <w:p w:rsidR="00504772" w:rsidRPr="00DB4D74" w:rsidRDefault="00504772" w:rsidP="001C5390">
            <w:pPr>
              <w:rPr>
                <w:rFonts w:asciiTheme="minorHAnsi" w:hAnsiTheme="minorHAnsi" w:cstheme="minorHAnsi"/>
                <w:color w:val="000000"/>
                <w:sz w:val="20"/>
                <w:szCs w:val="20"/>
              </w:rPr>
            </w:pPr>
            <w:r>
              <w:rPr>
                <w:rFonts w:asciiTheme="minorHAnsi" w:hAnsiTheme="minorHAnsi" w:cstheme="minorHAnsi"/>
                <w:color w:val="000000"/>
                <w:sz w:val="20"/>
                <w:szCs w:val="20"/>
              </w:rPr>
              <w:t>8240</w:t>
            </w:r>
          </w:p>
        </w:tc>
        <w:tc>
          <w:tcPr>
            <w:tcW w:w="3677" w:type="dxa"/>
          </w:tcPr>
          <w:p w:rsidR="00504772" w:rsidRPr="00DB4D74" w:rsidRDefault="00504772" w:rsidP="001C5390">
            <w:pPr>
              <w:rPr>
                <w:rFonts w:asciiTheme="minorHAnsi" w:hAnsiTheme="minorHAnsi" w:cstheme="minorHAnsi"/>
                <w:color w:val="000000"/>
                <w:sz w:val="20"/>
                <w:szCs w:val="20"/>
              </w:rPr>
            </w:pPr>
            <w:r w:rsidRPr="00DB4D74">
              <w:rPr>
                <w:rFonts w:asciiTheme="minorHAnsi" w:hAnsiTheme="minorHAnsi" w:cstheme="minorHAnsi"/>
                <w:color w:val="000000"/>
                <w:sz w:val="20"/>
                <w:szCs w:val="20"/>
              </w:rPr>
              <w:t xml:space="preserve">     Presupuesto de Egresos Comprometido</w:t>
            </w:r>
          </w:p>
        </w:tc>
        <w:tc>
          <w:tcPr>
            <w:tcW w:w="1998" w:type="dxa"/>
          </w:tcPr>
          <w:p w:rsidR="00504772" w:rsidRPr="00504772" w:rsidRDefault="005C16B9" w:rsidP="001A300A">
            <w:pPr>
              <w:jc w:val="right"/>
              <w:rPr>
                <w:rFonts w:ascii="Calibri" w:hAnsi="Calibri" w:cs="Calibri"/>
                <w:color w:val="000000"/>
                <w:sz w:val="18"/>
                <w:szCs w:val="18"/>
              </w:rPr>
            </w:pPr>
            <w:r w:rsidRPr="005C16B9">
              <w:rPr>
                <w:rFonts w:ascii="Calibri" w:hAnsi="Calibri" w:cs="Calibri"/>
                <w:color w:val="000000"/>
                <w:sz w:val="18"/>
                <w:szCs w:val="18"/>
              </w:rPr>
              <w:t>$</w:t>
            </w:r>
            <w:r w:rsidR="001A300A">
              <w:rPr>
                <w:rFonts w:ascii="Calibri" w:hAnsi="Calibri" w:cs="Calibri"/>
                <w:color w:val="000000"/>
                <w:sz w:val="18"/>
                <w:szCs w:val="18"/>
              </w:rPr>
              <w:t>16,519,325.61</w:t>
            </w:r>
          </w:p>
        </w:tc>
      </w:tr>
      <w:tr w:rsidR="00504772" w:rsidTr="006E51EE">
        <w:trPr>
          <w:jc w:val="center"/>
        </w:trPr>
        <w:tc>
          <w:tcPr>
            <w:tcW w:w="854" w:type="dxa"/>
          </w:tcPr>
          <w:p w:rsidR="00504772" w:rsidRPr="00D93637" w:rsidRDefault="00504772" w:rsidP="001C5390">
            <w:pPr>
              <w:rPr>
                <w:rFonts w:asciiTheme="minorHAnsi" w:hAnsiTheme="minorHAnsi" w:cstheme="minorHAnsi"/>
                <w:color w:val="000000"/>
                <w:sz w:val="20"/>
                <w:szCs w:val="20"/>
              </w:rPr>
            </w:pPr>
            <w:r>
              <w:rPr>
                <w:rFonts w:asciiTheme="minorHAnsi" w:hAnsiTheme="minorHAnsi" w:cstheme="minorHAnsi"/>
                <w:color w:val="000000"/>
                <w:sz w:val="20"/>
                <w:szCs w:val="20"/>
              </w:rPr>
              <w:t>8250</w:t>
            </w:r>
          </w:p>
        </w:tc>
        <w:tc>
          <w:tcPr>
            <w:tcW w:w="3677" w:type="dxa"/>
          </w:tcPr>
          <w:p w:rsidR="00504772" w:rsidRPr="00D93637" w:rsidRDefault="00504772" w:rsidP="001C5390">
            <w:pPr>
              <w:rPr>
                <w:rFonts w:asciiTheme="minorHAnsi" w:hAnsiTheme="minorHAnsi" w:cstheme="minorHAnsi"/>
                <w:color w:val="000000"/>
                <w:sz w:val="20"/>
                <w:szCs w:val="20"/>
              </w:rPr>
            </w:pPr>
            <w:r w:rsidRPr="00D93637">
              <w:rPr>
                <w:rFonts w:asciiTheme="minorHAnsi" w:hAnsiTheme="minorHAnsi" w:cstheme="minorHAnsi"/>
                <w:color w:val="000000"/>
                <w:sz w:val="20"/>
                <w:szCs w:val="20"/>
              </w:rPr>
              <w:t xml:space="preserve">     Presupuesto de Egresos Devengado</w:t>
            </w:r>
          </w:p>
        </w:tc>
        <w:tc>
          <w:tcPr>
            <w:tcW w:w="1998" w:type="dxa"/>
          </w:tcPr>
          <w:p w:rsidR="00504772" w:rsidRPr="00504772" w:rsidRDefault="001A300A" w:rsidP="000803B8">
            <w:pPr>
              <w:jc w:val="right"/>
              <w:rPr>
                <w:rFonts w:ascii="Calibri" w:hAnsi="Calibri" w:cs="Calibri"/>
                <w:color w:val="000000"/>
                <w:sz w:val="18"/>
                <w:szCs w:val="18"/>
              </w:rPr>
            </w:pPr>
            <w:r w:rsidRPr="005C16B9">
              <w:rPr>
                <w:rFonts w:ascii="Calibri" w:hAnsi="Calibri" w:cs="Calibri"/>
                <w:color w:val="000000"/>
                <w:sz w:val="18"/>
                <w:szCs w:val="18"/>
              </w:rPr>
              <w:t>$</w:t>
            </w:r>
            <w:r>
              <w:rPr>
                <w:rFonts w:ascii="Calibri" w:hAnsi="Calibri" w:cs="Calibri"/>
                <w:color w:val="000000"/>
                <w:sz w:val="18"/>
                <w:szCs w:val="18"/>
              </w:rPr>
              <w:t>16,519,325.61</w:t>
            </w:r>
          </w:p>
        </w:tc>
      </w:tr>
      <w:tr w:rsidR="00504772" w:rsidTr="006E51EE">
        <w:trPr>
          <w:jc w:val="center"/>
        </w:trPr>
        <w:tc>
          <w:tcPr>
            <w:tcW w:w="854" w:type="dxa"/>
          </w:tcPr>
          <w:p w:rsidR="00504772" w:rsidRPr="00D93637" w:rsidRDefault="00504772" w:rsidP="001C5390">
            <w:pPr>
              <w:rPr>
                <w:rFonts w:asciiTheme="minorHAnsi" w:hAnsiTheme="minorHAnsi" w:cstheme="minorHAnsi"/>
                <w:color w:val="000000"/>
                <w:sz w:val="20"/>
                <w:szCs w:val="20"/>
              </w:rPr>
            </w:pPr>
            <w:r>
              <w:rPr>
                <w:rFonts w:asciiTheme="minorHAnsi" w:hAnsiTheme="minorHAnsi" w:cstheme="minorHAnsi"/>
                <w:color w:val="000000"/>
                <w:sz w:val="20"/>
                <w:szCs w:val="20"/>
              </w:rPr>
              <w:t>8260</w:t>
            </w:r>
          </w:p>
        </w:tc>
        <w:tc>
          <w:tcPr>
            <w:tcW w:w="3677" w:type="dxa"/>
          </w:tcPr>
          <w:p w:rsidR="00504772" w:rsidRPr="00D93637" w:rsidRDefault="00504772" w:rsidP="001C5390">
            <w:pPr>
              <w:rPr>
                <w:rFonts w:asciiTheme="minorHAnsi" w:hAnsiTheme="minorHAnsi" w:cstheme="minorHAnsi"/>
                <w:color w:val="000000"/>
                <w:sz w:val="20"/>
                <w:szCs w:val="20"/>
              </w:rPr>
            </w:pPr>
            <w:r w:rsidRPr="00D93637">
              <w:rPr>
                <w:rFonts w:asciiTheme="minorHAnsi" w:hAnsiTheme="minorHAnsi" w:cstheme="minorHAnsi"/>
                <w:color w:val="000000"/>
                <w:sz w:val="20"/>
                <w:szCs w:val="20"/>
              </w:rPr>
              <w:t xml:space="preserve">     Presupuesto de Egresos Ejercido</w:t>
            </w:r>
          </w:p>
        </w:tc>
        <w:tc>
          <w:tcPr>
            <w:tcW w:w="1998" w:type="dxa"/>
          </w:tcPr>
          <w:p w:rsidR="00504772" w:rsidRPr="00504772" w:rsidRDefault="001A300A" w:rsidP="00D458CA">
            <w:pPr>
              <w:jc w:val="right"/>
              <w:rPr>
                <w:rFonts w:ascii="Calibri" w:hAnsi="Calibri" w:cs="Calibri"/>
                <w:color w:val="000000"/>
                <w:sz w:val="18"/>
                <w:szCs w:val="18"/>
              </w:rPr>
            </w:pPr>
            <w:r w:rsidRPr="005C16B9">
              <w:rPr>
                <w:rFonts w:ascii="Calibri" w:hAnsi="Calibri" w:cs="Calibri"/>
                <w:color w:val="000000"/>
                <w:sz w:val="18"/>
                <w:szCs w:val="18"/>
              </w:rPr>
              <w:t>$</w:t>
            </w:r>
            <w:r>
              <w:rPr>
                <w:rFonts w:ascii="Calibri" w:hAnsi="Calibri" w:cs="Calibri"/>
                <w:color w:val="000000"/>
                <w:sz w:val="18"/>
                <w:szCs w:val="18"/>
              </w:rPr>
              <w:t>16,519,325.61</w:t>
            </w:r>
          </w:p>
        </w:tc>
      </w:tr>
      <w:tr w:rsidR="00504772" w:rsidTr="006E51EE">
        <w:trPr>
          <w:jc w:val="center"/>
        </w:trPr>
        <w:tc>
          <w:tcPr>
            <w:tcW w:w="854" w:type="dxa"/>
          </w:tcPr>
          <w:p w:rsidR="00504772" w:rsidRPr="00D93637" w:rsidRDefault="00504772" w:rsidP="001C5390">
            <w:pPr>
              <w:rPr>
                <w:rFonts w:asciiTheme="minorHAnsi" w:hAnsiTheme="minorHAnsi" w:cstheme="minorHAnsi"/>
                <w:color w:val="000000"/>
                <w:sz w:val="20"/>
                <w:szCs w:val="20"/>
              </w:rPr>
            </w:pPr>
            <w:r>
              <w:rPr>
                <w:rFonts w:asciiTheme="minorHAnsi" w:hAnsiTheme="minorHAnsi" w:cstheme="minorHAnsi"/>
                <w:color w:val="000000"/>
                <w:sz w:val="20"/>
                <w:szCs w:val="20"/>
              </w:rPr>
              <w:t>8270</w:t>
            </w:r>
          </w:p>
        </w:tc>
        <w:tc>
          <w:tcPr>
            <w:tcW w:w="3677" w:type="dxa"/>
          </w:tcPr>
          <w:p w:rsidR="00504772" w:rsidRPr="00D93637" w:rsidRDefault="00504772" w:rsidP="001C5390">
            <w:pPr>
              <w:rPr>
                <w:rFonts w:asciiTheme="minorHAnsi" w:hAnsiTheme="minorHAnsi" w:cstheme="minorHAnsi"/>
                <w:color w:val="000000"/>
                <w:sz w:val="20"/>
                <w:szCs w:val="20"/>
              </w:rPr>
            </w:pPr>
            <w:r w:rsidRPr="00D93637">
              <w:rPr>
                <w:rFonts w:asciiTheme="minorHAnsi" w:hAnsiTheme="minorHAnsi" w:cstheme="minorHAnsi"/>
                <w:color w:val="000000"/>
                <w:sz w:val="20"/>
                <w:szCs w:val="20"/>
              </w:rPr>
              <w:t xml:space="preserve">     Presupuesto de Egresos Pagado</w:t>
            </w:r>
          </w:p>
        </w:tc>
        <w:tc>
          <w:tcPr>
            <w:tcW w:w="1998" w:type="dxa"/>
          </w:tcPr>
          <w:p w:rsidR="00504772" w:rsidRPr="00504772" w:rsidRDefault="001A300A" w:rsidP="00DF7C87">
            <w:pPr>
              <w:jc w:val="right"/>
              <w:rPr>
                <w:rFonts w:ascii="Calibri" w:hAnsi="Calibri" w:cs="Calibri"/>
                <w:color w:val="000000"/>
                <w:sz w:val="18"/>
                <w:szCs w:val="18"/>
              </w:rPr>
            </w:pPr>
            <w:r w:rsidRPr="005C16B9">
              <w:rPr>
                <w:rFonts w:ascii="Calibri" w:hAnsi="Calibri" w:cs="Calibri"/>
                <w:color w:val="000000"/>
                <w:sz w:val="18"/>
                <w:szCs w:val="18"/>
              </w:rPr>
              <w:t>$</w:t>
            </w:r>
            <w:r>
              <w:rPr>
                <w:rFonts w:ascii="Calibri" w:hAnsi="Calibri" w:cs="Calibri"/>
                <w:color w:val="000000"/>
                <w:sz w:val="18"/>
                <w:szCs w:val="18"/>
              </w:rPr>
              <w:t>16,519,325.61</w:t>
            </w:r>
          </w:p>
        </w:tc>
      </w:tr>
    </w:tbl>
    <w:p w:rsidR="00065BF4" w:rsidRDefault="00065BF4" w:rsidP="00DF3CDB">
      <w:pPr>
        <w:pStyle w:val="Sangradetextonormal"/>
        <w:tabs>
          <w:tab w:val="left" w:pos="7655"/>
        </w:tabs>
        <w:ind w:left="0"/>
        <w:jc w:val="both"/>
        <w:rPr>
          <w:rFonts w:asciiTheme="minorHAnsi" w:hAnsiTheme="minorHAnsi"/>
          <w:b/>
          <w:sz w:val="20"/>
          <w:szCs w:val="20"/>
        </w:rPr>
      </w:pPr>
    </w:p>
    <w:p w:rsidR="0031689D" w:rsidRDefault="0031689D" w:rsidP="0031689D">
      <w:pPr>
        <w:rPr>
          <w:rFonts w:asciiTheme="minorHAnsi" w:hAnsiTheme="minorHAnsi" w:cstheme="minorHAnsi"/>
          <w:b/>
          <w:sz w:val="20"/>
          <w:szCs w:val="20"/>
        </w:rPr>
      </w:pPr>
      <w:r w:rsidRPr="00552982">
        <w:rPr>
          <w:rFonts w:asciiTheme="minorHAnsi" w:hAnsiTheme="minorHAnsi" w:cstheme="minorHAnsi"/>
          <w:b/>
          <w:sz w:val="20"/>
          <w:szCs w:val="20"/>
        </w:rPr>
        <w:t>Bajo protesta de decir la verdad declaramos que los Estados Financieros y sus notas son razonablemente correctos y responsabilidad del emisor.</w:t>
      </w:r>
    </w:p>
    <w:p w:rsidR="00114BCA" w:rsidRDefault="00114BCA" w:rsidP="0031689D">
      <w:pPr>
        <w:rPr>
          <w:rFonts w:asciiTheme="minorHAnsi" w:hAnsiTheme="minorHAnsi" w:cstheme="minorHAnsi"/>
          <w:b/>
          <w:sz w:val="20"/>
          <w:szCs w:val="20"/>
        </w:rPr>
      </w:pPr>
    </w:p>
    <w:p w:rsidR="00114BCA" w:rsidRDefault="00114BCA" w:rsidP="0031689D">
      <w:pPr>
        <w:rPr>
          <w:rFonts w:asciiTheme="minorHAnsi" w:hAnsiTheme="minorHAnsi" w:cstheme="minorHAnsi"/>
          <w:b/>
          <w:sz w:val="20"/>
          <w:szCs w:val="20"/>
        </w:rPr>
      </w:pPr>
    </w:p>
    <w:p w:rsidR="00114BCA" w:rsidRDefault="00114BCA" w:rsidP="0031689D">
      <w:pPr>
        <w:rPr>
          <w:rFonts w:asciiTheme="minorHAnsi" w:hAnsiTheme="minorHAnsi" w:cstheme="minorHAnsi"/>
          <w:b/>
          <w:sz w:val="20"/>
          <w:szCs w:val="20"/>
        </w:rPr>
      </w:pPr>
    </w:p>
    <w:p w:rsidR="00114BCA" w:rsidRDefault="00114BCA" w:rsidP="0031689D">
      <w:pPr>
        <w:rPr>
          <w:rFonts w:asciiTheme="minorHAnsi" w:hAnsiTheme="minorHAnsi" w:cstheme="minorHAnsi"/>
          <w:b/>
          <w:sz w:val="20"/>
          <w:szCs w:val="20"/>
        </w:rPr>
      </w:pPr>
    </w:p>
    <w:p w:rsidR="00114BCA" w:rsidRPr="00552982" w:rsidRDefault="00114BCA" w:rsidP="0031689D">
      <w:pPr>
        <w:rPr>
          <w:rFonts w:asciiTheme="minorHAnsi" w:hAnsiTheme="minorHAnsi" w:cstheme="minorHAnsi"/>
          <w:b/>
          <w:sz w:val="20"/>
          <w:szCs w:val="20"/>
        </w:rPr>
      </w:pPr>
    </w:p>
    <w:tbl>
      <w:tblPr>
        <w:tblpPr w:leftFromText="141" w:rightFromText="141" w:vertAnchor="text" w:horzAnchor="margin" w:tblpXSpec="center" w:tblpY="49"/>
        <w:tblOverlap w:val="never"/>
        <w:tblW w:w="8505" w:type="dxa"/>
        <w:tblCellMar>
          <w:left w:w="70" w:type="dxa"/>
          <w:right w:w="70" w:type="dxa"/>
        </w:tblCellMar>
        <w:tblLook w:val="04A0" w:firstRow="1" w:lastRow="0" w:firstColumn="1" w:lastColumn="0" w:noHBand="0" w:noVBand="1"/>
      </w:tblPr>
      <w:tblGrid>
        <w:gridCol w:w="1616"/>
        <w:gridCol w:w="1584"/>
        <w:gridCol w:w="1448"/>
        <w:gridCol w:w="2287"/>
        <w:gridCol w:w="1570"/>
      </w:tblGrid>
      <w:tr w:rsidR="00114BCA" w:rsidRPr="00DF3CDB" w:rsidTr="00114BCA">
        <w:trPr>
          <w:trHeight w:val="300"/>
        </w:trPr>
        <w:tc>
          <w:tcPr>
            <w:tcW w:w="1616" w:type="dxa"/>
            <w:tcBorders>
              <w:top w:val="nil"/>
              <w:left w:val="nil"/>
              <w:bottom w:val="nil"/>
              <w:right w:val="nil"/>
            </w:tcBorders>
            <w:shd w:val="clear" w:color="000000" w:fill="FFFFFF"/>
            <w:noWrap/>
            <w:vAlign w:val="bottom"/>
            <w:hideMark/>
          </w:tcPr>
          <w:p w:rsidR="00114BCA" w:rsidRPr="00DF3CDB" w:rsidRDefault="00114BCA" w:rsidP="00114BCA">
            <w:pPr>
              <w:jc w:val="center"/>
              <w:rPr>
                <w:rFonts w:asciiTheme="minorHAnsi" w:hAnsiTheme="minorHAnsi" w:cs="Arial"/>
                <w:sz w:val="20"/>
                <w:szCs w:val="20"/>
                <w:lang w:eastAsia="es-MX"/>
              </w:rPr>
            </w:pPr>
          </w:p>
        </w:tc>
        <w:tc>
          <w:tcPr>
            <w:tcW w:w="1584" w:type="dxa"/>
            <w:tcBorders>
              <w:top w:val="nil"/>
              <w:left w:val="nil"/>
              <w:bottom w:val="nil"/>
              <w:right w:val="nil"/>
            </w:tcBorders>
            <w:shd w:val="clear" w:color="000000" w:fill="FFFFFF"/>
            <w:noWrap/>
            <w:vAlign w:val="bottom"/>
          </w:tcPr>
          <w:p w:rsidR="00114BCA" w:rsidRPr="00DF3CDB" w:rsidRDefault="00114BCA" w:rsidP="00114BCA">
            <w:pPr>
              <w:jc w:val="center"/>
              <w:rPr>
                <w:rFonts w:asciiTheme="minorHAnsi" w:hAnsiTheme="minorHAnsi" w:cs="Arial"/>
                <w:sz w:val="20"/>
                <w:szCs w:val="20"/>
                <w:lang w:eastAsia="es-MX"/>
              </w:rPr>
            </w:pPr>
          </w:p>
        </w:tc>
        <w:tc>
          <w:tcPr>
            <w:tcW w:w="1448" w:type="dxa"/>
            <w:tcBorders>
              <w:top w:val="nil"/>
              <w:left w:val="nil"/>
              <w:bottom w:val="nil"/>
              <w:right w:val="nil"/>
            </w:tcBorders>
            <w:shd w:val="clear" w:color="000000" w:fill="FFFFFF"/>
            <w:noWrap/>
            <w:vAlign w:val="center"/>
          </w:tcPr>
          <w:p w:rsidR="00114BCA" w:rsidRPr="00DF3CDB" w:rsidRDefault="00114BCA" w:rsidP="00114BCA">
            <w:pPr>
              <w:jc w:val="center"/>
              <w:rPr>
                <w:rFonts w:asciiTheme="minorHAnsi" w:hAnsiTheme="minorHAnsi" w:cs="Arial"/>
                <w:sz w:val="20"/>
                <w:szCs w:val="20"/>
                <w:lang w:eastAsia="es-MX"/>
              </w:rPr>
            </w:pPr>
          </w:p>
        </w:tc>
        <w:tc>
          <w:tcPr>
            <w:tcW w:w="2287" w:type="dxa"/>
            <w:tcBorders>
              <w:top w:val="nil"/>
              <w:left w:val="nil"/>
              <w:bottom w:val="nil"/>
              <w:right w:val="nil"/>
            </w:tcBorders>
            <w:shd w:val="clear" w:color="000000" w:fill="FFFFFF"/>
            <w:noWrap/>
            <w:vAlign w:val="bottom"/>
          </w:tcPr>
          <w:p w:rsidR="00114BCA" w:rsidRPr="00DF3CDB" w:rsidRDefault="00114BCA" w:rsidP="00114BCA">
            <w:pPr>
              <w:jc w:val="center"/>
              <w:rPr>
                <w:rFonts w:asciiTheme="minorHAnsi" w:hAnsiTheme="minorHAnsi" w:cs="Arial"/>
                <w:sz w:val="20"/>
                <w:szCs w:val="20"/>
                <w:lang w:eastAsia="es-MX"/>
              </w:rPr>
            </w:pPr>
          </w:p>
        </w:tc>
        <w:tc>
          <w:tcPr>
            <w:tcW w:w="1570" w:type="dxa"/>
            <w:tcBorders>
              <w:top w:val="nil"/>
              <w:left w:val="nil"/>
              <w:bottom w:val="nil"/>
              <w:right w:val="nil"/>
            </w:tcBorders>
            <w:shd w:val="clear" w:color="000000" w:fill="FFFFFF"/>
            <w:vAlign w:val="bottom"/>
          </w:tcPr>
          <w:p w:rsidR="00114BCA" w:rsidRPr="00DF3CDB" w:rsidRDefault="00114BCA" w:rsidP="00114BCA">
            <w:pPr>
              <w:jc w:val="center"/>
              <w:rPr>
                <w:rFonts w:asciiTheme="minorHAnsi" w:hAnsiTheme="minorHAnsi" w:cs="Arial"/>
                <w:sz w:val="20"/>
                <w:szCs w:val="20"/>
                <w:lang w:eastAsia="es-MX"/>
              </w:rPr>
            </w:pPr>
          </w:p>
        </w:tc>
      </w:tr>
      <w:tr w:rsidR="00114BCA" w:rsidRPr="00DF3CDB" w:rsidTr="00114BCA">
        <w:trPr>
          <w:trHeight w:val="300"/>
        </w:trPr>
        <w:tc>
          <w:tcPr>
            <w:tcW w:w="3200" w:type="dxa"/>
            <w:gridSpan w:val="2"/>
            <w:tcBorders>
              <w:top w:val="single" w:sz="4" w:space="0" w:color="auto"/>
              <w:left w:val="nil"/>
              <w:bottom w:val="nil"/>
              <w:right w:val="nil"/>
            </w:tcBorders>
            <w:shd w:val="clear" w:color="000000" w:fill="FFFFFF"/>
            <w:noWrap/>
            <w:vAlign w:val="bottom"/>
            <w:hideMark/>
          </w:tcPr>
          <w:p w:rsidR="00114BCA" w:rsidRPr="00DF3CDB" w:rsidRDefault="00114BCA" w:rsidP="00114BCA">
            <w:pPr>
              <w:jc w:val="center"/>
              <w:rPr>
                <w:rFonts w:asciiTheme="minorHAnsi" w:hAnsiTheme="minorHAnsi" w:cs="Arial"/>
                <w:color w:val="000000"/>
                <w:sz w:val="20"/>
                <w:szCs w:val="20"/>
                <w:lang w:eastAsia="es-MX"/>
              </w:rPr>
            </w:pPr>
            <w:r>
              <w:rPr>
                <w:rFonts w:asciiTheme="minorHAnsi" w:hAnsiTheme="minorHAnsi" w:cs="Arial"/>
                <w:color w:val="000000"/>
                <w:sz w:val="20"/>
                <w:szCs w:val="20"/>
                <w:lang w:eastAsia="es-MX"/>
              </w:rPr>
              <w:t>L.A. GABRIEL ZENTELLA FLORES</w:t>
            </w:r>
          </w:p>
        </w:tc>
        <w:tc>
          <w:tcPr>
            <w:tcW w:w="1448" w:type="dxa"/>
            <w:tcBorders>
              <w:top w:val="nil"/>
              <w:left w:val="nil"/>
              <w:bottom w:val="nil"/>
              <w:right w:val="nil"/>
            </w:tcBorders>
            <w:shd w:val="clear" w:color="000000" w:fill="FFFFFF"/>
            <w:noWrap/>
            <w:vAlign w:val="bottom"/>
            <w:hideMark/>
          </w:tcPr>
          <w:p w:rsidR="00114BCA" w:rsidRPr="00DF3CDB" w:rsidRDefault="00114BCA" w:rsidP="00114BCA">
            <w:pPr>
              <w:jc w:val="center"/>
              <w:rPr>
                <w:rFonts w:asciiTheme="minorHAnsi" w:hAnsiTheme="minorHAnsi" w:cs="Arial"/>
                <w:sz w:val="20"/>
                <w:szCs w:val="20"/>
                <w:lang w:eastAsia="es-MX"/>
              </w:rPr>
            </w:pPr>
          </w:p>
        </w:tc>
        <w:tc>
          <w:tcPr>
            <w:tcW w:w="3857" w:type="dxa"/>
            <w:gridSpan w:val="2"/>
            <w:tcBorders>
              <w:top w:val="single" w:sz="4" w:space="0" w:color="auto"/>
              <w:left w:val="nil"/>
              <w:bottom w:val="nil"/>
              <w:right w:val="nil"/>
            </w:tcBorders>
            <w:shd w:val="clear" w:color="000000" w:fill="FFFFFF"/>
            <w:noWrap/>
            <w:vAlign w:val="bottom"/>
            <w:hideMark/>
          </w:tcPr>
          <w:p w:rsidR="00114BCA" w:rsidRPr="00DF3CDB" w:rsidRDefault="00114BCA" w:rsidP="00114BCA">
            <w:pPr>
              <w:jc w:val="center"/>
              <w:rPr>
                <w:rFonts w:asciiTheme="minorHAnsi" w:hAnsiTheme="minorHAnsi" w:cs="Arial"/>
                <w:color w:val="000000"/>
                <w:sz w:val="20"/>
                <w:szCs w:val="20"/>
                <w:lang w:eastAsia="es-MX"/>
              </w:rPr>
            </w:pPr>
            <w:r w:rsidRPr="00DF3CDB">
              <w:rPr>
                <w:rFonts w:asciiTheme="minorHAnsi" w:hAnsiTheme="minorHAnsi" w:cs="Arial"/>
                <w:color w:val="000000"/>
                <w:sz w:val="20"/>
                <w:szCs w:val="20"/>
                <w:lang w:eastAsia="es-MX"/>
              </w:rPr>
              <w:t>C</w:t>
            </w:r>
            <w:r>
              <w:rPr>
                <w:rFonts w:asciiTheme="minorHAnsi" w:hAnsiTheme="minorHAnsi" w:cs="Arial"/>
                <w:color w:val="000000"/>
                <w:sz w:val="20"/>
                <w:szCs w:val="20"/>
                <w:lang w:eastAsia="es-MX"/>
              </w:rPr>
              <w:t>P. KAREN BEATRIZ CUITUN CARDEÑA</w:t>
            </w:r>
          </w:p>
        </w:tc>
      </w:tr>
      <w:tr w:rsidR="00114BCA" w:rsidRPr="00DF3CDB" w:rsidTr="00114BCA">
        <w:trPr>
          <w:trHeight w:val="300"/>
        </w:trPr>
        <w:tc>
          <w:tcPr>
            <w:tcW w:w="3200" w:type="dxa"/>
            <w:gridSpan w:val="2"/>
            <w:tcBorders>
              <w:top w:val="nil"/>
              <w:left w:val="nil"/>
              <w:bottom w:val="nil"/>
              <w:right w:val="nil"/>
            </w:tcBorders>
            <w:shd w:val="clear" w:color="000000" w:fill="FFFFFF"/>
            <w:hideMark/>
          </w:tcPr>
          <w:p w:rsidR="00114BCA" w:rsidRDefault="00114BCA" w:rsidP="00114BCA">
            <w:pPr>
              <w:ind w:right="-119"/>
              <w:rPr>
                <w:rFonts w:asciiTheme="minorHAnsi" w:hAnsiTheme="minorHAnsi" w:cs="Arial"/>
                <w:sz w:val="20"/>
                <w:szCs w:val="20"/>
                <w:lang w:eastAsia="es-MX"/>
              </w:rPr>
            </w:pPr>
            <w:r>
              <w:rPr>
                <w:rFonts w:asciiTheme="minorHAnsi" w:hAnsiTheme="minorHAnsi" w:cs="Arial"/>
                <w:sz w:val="20"/>
                <w:szCs w:val="20"/>
                <w:lang w:eastAsia="es-MX"/>
              </w:rPr>
              <w:t>Director de Administración y Finanzas</w:t>
            </w:r>
          </w:p>
          <w:p w:rsidR="0072434C" w:rsidRPr="00DF3CDB" w:rsidRDefault="0072434C" w:rsidP="0072434C">
            <w:pPr>
              <w:tabs>
                <w:tab w:val="center" w:pos="1589"/>
              </w:tabs>
              <w:ind w:right="-119"/>
              <w:jc w:val="center"/>
              <w:rPr>
                <w:rFonts w:asciiTheme="minorHAnsi" w:hAnsiTheme="minorHAnsi" w:cs="Arial"/>
                <w:sz w:val="20"/>
                <w:szCs w:val="20"/>
                <w:lang w:eastAsia="es-MX"/>
              </w:rPr>
            </w:pPr>
            <w:r>
              <w:rPr>
                <w:rFonts w:asciiTheme="minorHAnsi" w:hAnsiTheme="minorHAnsi" w:cs="Arial"/>
                <w:sz w:val="20"/>
                <w:szCs w:val="20"/>
                <w:lang w:eastAsia="es-MX"/>
              </w:rPr>
              <w:t>Autorizó</w:t>
            </w:r>
          </w:p>
        </w:tc>
        <w:tc>
          <w:tcPr>
            <w:tcW w:w="1448" w:type="dxa"/>
            <w:tcBorders>
              <w:top w:val="nil"/>
              <w:left w:val="nil"/>
              <w:bottom w:val="nil"/>
              <w:right w:val="nil"/>
            </w:tcBorders>
            <w:shd w:val="clear" w:color="000000" w:fill="FFFFFF"/>
            <w:noWrap/>
            <w:hideMark/>
          </w:tcPr>
          <w:p w:rsidR="00114BCA" w:rsidRPr="00DF3CDB" w:rsidRDefault="00114BCA" w:rsidP="00114BCA">
            <w:pPr>
              <w:jc w:val="center"/>
              <w:rPr>
                <w:rFonts w:asciiTheme="minorHAnsi" w:hAnsiTheme="minorHAnsi" w:cs="Arial"/>
                <w:sz w:val="20"/>
                <w:szCs w:val="20"/>
                <w:lang w:eastAsia="es-MX"/>
              </w:rPr>
            </w:pPr>
          </w:p>
        </w:tc>
        <w:tc>
          <w:tcPr>
            <w:tcW w:w="3857" w:type="dxa"/>
            <w:gridSpan w:val="2"/>
            <w:tcBorders>
              <w:top w:val="nil"/>
              <w:left w:val="nil"/>
              <w:bottom w:val="nil"/>
              <w:right w:val="nil"/>
            </w:tcBorders>
            <w:shd w:val="clear" w:color="000000" w:fill="FFFFFF"/>
            <w:hideMark/>
          </w:tcPr>
          <w:p w:rsidR="00114BCA" w:rsidRDefault="00114BCA" w:rsidP="0072434C">
            <w:pPr>
              <w:jc w:val="center"/>
              <w:rPr>
                <w:rFonts w:asciiTheme="minorHAnsi" w:hAnsiTheme="minorHAnsi" w:cs="Arial"/>
                <w:sz w:val="20"/>
                <w:szCs w:val="20"/>
                <w:lang w:eastAsia="es-MX"/>
              </w:rPr>
            </w:pPr>
            <w:r>
              <w:rPr>
                <w:rFonts w:asciiTheme="minorHAnsi" w:hAnsiTheme="minorHAnsi" w:cs="Arial"/>
                <w:sz w:val="20"/>
                <w:szCs w:val="20"/>
                <w:lang w:eastAsia="es-MX"/>
              </w:rPr>
              <w:t>Auditor supervisor</w:t>
            </w:r>
          </w:p>
          <w:p w:rsidR="0072434C" w:rsidRPr="00DF3CDB" w:rsidRDefault="0072434C" w:rsidP="0072434C">
            <w:pPr>
              <w:jc w:val="center"/>
              <w:rPr>
                <w:rFonts w:asciiTheme="minorHAnsi" w:hAnsiTheme="minorHAnsi" w:cs="Arial"/>
                <w:sz w:val="20"/>
                <w:szCs w:val="20"/>
                <w:lang w:eastAsia="es-MX"/>
              </w:rPr>
            </w:pPr>
            <w:r>
              <w:rPr>
                <w:rFonts w:asciiTheme="minorHAnsi" w:hAnsiTheme="minorHAnsi" w:cs="Arial"/>
                <w:sz w:val="20"/>
                <w:szCs w:val="20"/>
                <w:lang w:eastAsia="es-MX"/>
              </w:rPr>
              <w:t>Elaboró</w:t>
            </w:r>
          </w:p>
        </w:tc>
      </w:tr>
    </w:tbl>
    <w:p w:rsidR="00D82323" w:rsidRDefault="00D82323" w:rsidP="00DF3CDB">
      <w:pPr>
        <w:pStyle w:val="Sangradetextonormal"/>
        <w:tabs>
          <w:tab w:val="left" w:pos="7655"/>
        </w:tabs>
        <w:ind w:left="0"/>
        <w:jc w:val="both"/>
        <w:rPr>
          <w:rFonts w:asciiTheme="minorHAnsi" w:hAnsiTheme="minorHAnsi"/>
          <w:b/>
          <w:sz w:val="20"/>
          <w:szCs w:val="20"/>
        </w:rPr>
      </w:pPr>
    </w:p>
    <w:p w:rsidR="0090155B" w:rsidRPr="00DF3CDB" w:rsidRDefault="0090155B" w:rsidP="00114BCA">
      <w:pPr>
        <w:pStyle w:val="Sangradetextonormal"/>
        <w:tabs>
          <w:tab w:val="left" w:pos="7655"/>
        </w:tabs>
        <w:ind w:left="0"/>
        <w:jc w:val="both"/>
        <w:rPr>
          <w:rFonts w:asciiTheme="minorHAnsi" w:hAnsiTheme="minorHAnsi"/>
          <w:b/>
          <w:sz w:val="20"/>
          <w:szCs w:val="20"/>
        </w:rPr>
      </w:pPr>
    </w:p>
    <w:sectPr w:rsidR="0090155B" w:rsidRPr="00DF3CDB" w:rsidSect="00001B4A">
      <w:headerReference w:type="default" r:id="rId9"/>
      <w:footerReference w:type="even" r:id="rId10"/>
      <w:footerReference w:type="default" r:id="rId11"/>
      <w:pgSz w:w="15840" w:h="12240" w:orient="landscape"/>
      <w:pgMar w:top="993" w:right="1259" w:bottom="1418" w:left="1701" w:header="851"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1024" w:rsidRDefault="00931024">
      <w:r>
        <w:separator/>
      </w:r>
    </w:p>
  </w:endnote>
  <w:endnote w:type="continuationSeparator" w:id="0">
    <w:p w:rsidR="00931024" w:rsidRDefault="00931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024" w:rsidRDefault="0093102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11</w:t>
    </w:r>
    <w:r>
      <w:rPr>
        <w:rStyle w:val="Nmerodepgina"/>
      </w:rPr>
      <w:fldChar w:fldCharType="end"/>
    </w:r>
  </w:p>
  <w:p w:rsidR="00931024" w:rsidRDefault="00931024">
    <w:pPr>
      <w:pStyle w:val="Piedepgina"/>
      <w:ind w:right="360"/>
    </w:pPr>
  </w:p>
  <w:p w:rsidR="00931024" w:rsidRDefault="0093102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024" w:rsidRDefault="00931024" w:rsidP="001D2772">
    <w:pPr>
      <w:pStyle w:val="Piedepgina"/>
      <w:ind w:right="360"/>
      <w:jc w:val="right"/>
      <w:rPr>
        <w:color w:val="C0C0C0"/>
        <w:sz w:val="16"/>
      </w:rPr>
    </w:pPr>
    <w:r w:rsidRPr="00A510B4">
      <w:rPr>
        <w:color w:val="C0C0C0"/>
        <w:sz w:val="16"/>
      </w:rPr>
      <w:t xml:space="preserve">Página </w:t>
    </w:r>
    <w:r w:rsidRPr="00A510B4">
      <w:rPr>
        <w:color w:val="C0C0C0"/>
        <w:sz w:val="16"/>
      </w:rPr>
      <w:fldChar w:fldCharType="begin"/>
    </w:r>
    <w:r w:rsidRPr="00A510B4">
      <w:rPr>
        <w:color w:val="C0C0C0"/>
        <w:sz w:val="16"/>
      </w:rPr>
      <w:instrText xml:space="preserve"> PAGE </w:instrText>
    </w:r>
    <w:r w:rsidRPr="00A510B4">
      <w:rPr>
        <w:color w:val="C0C0C0"/>
        <w:sz w:val="16"/>
      </w:rPr>
      <w:fldChar w:fldCharType="separate"/>
    </w:r>
    <w:r w:rsidR="00C364FD">
      <w:rPr>
        <w:noProof/>
        <w:color w:val="C0C0C0"/>
        <w:sz w:val="16"/>
      </w:rPr>
      <w:t>6</w:t>
    </w:r>
    <w:r w:rsidRPr="00A510B4">
      <w:rPr>
        <w:color w:val="C0C0C0"/>
        <w:sz w:val="16"/>
      </w:rPr>
      <w:fldChar w:fldCharType="end"/>
    </w:r>
    <w:r w:rsidRPr="00A510B4">
      <w:rPr>
        <w:color w:val="C0C0C0"/>
        <w:sz w:val="16"/>
      </w:rPr>
      <w:t xml:space="preserve"> de </w:t>
    </w:r>
    <w:r w:rsidRPr="00A510B4">
      <w:rPr>
        <w:color w:val="C0C0C0"/>
        <w:sz w:val="16"/>
      </w:rPr>
      <w:fldChar w:fldCharType="begin"/>
    </w:r>
    <w:r w:rsidRPr="00A510B4">
      <w:rPr>
        <w:color w:val="C0C0C0"/>
        <w:sz w:val="16"/>
      </w:rPr>
      <w:instrText xml:space="preserve"> NUMPAGES </w:instrText>
    </w:r>
    <w:r w:rsidRPr="00A510B4">
      <w:rPr>
        <w:color w:val="C0C0C0"/>
        <w:sz w:val="16"/>
      </w:rPr>
      <w:fldChar w:fldCharType="separate"/>
    </w:r>
    <w:r w:rsidR="00C364FD">
      <w:rPr>
        <w:noProof/>
        <w:color w:val="C0C0C0"/>
        <w:sz w:val="16"/>
      </w:rPr>
      <w:t>6</w:t>
    </w:r>
    <w:r w:rsidRPr="00A510B4">
      <w:rPr>
        <w:color w:val="C0C0C0"/>
        <w:sz w:val="16"/>
      </w:rPr>
      <w:fldChar w:fldCharType="end"/>
    </w:r>
  </w:p>
  <w:p w:rsidR="00931024" w:rsidRDefault="00931024">
    <w:pPr>
      <w:pStyle w:val="Piedepgina"/>
      <w:ind w:right="360"/>
    </w:pPr>
  </w:p>
  <w:p w:rsidR="00931024" w:rsidRDefault="0093102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1024" w:rsidRDefault="00931024">
      <w:r>
        <w:separator/>
      </w:r>
    </w:p>
  </w:footnote>
  <w:footnote w:type="continuationSeparator" w:id="0">
    <w:p w:rsidR="00931024" w:rsidRDefault="009310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024" w:rsidRDefault="00931024" w:rsidP="00DF3CDB">
    <w:pPr>
      <w:pStyle w:val="Encabezado"/>
      <w:jc w:val="center"/>
      <w:rPr>
        <w:rFonts w:asciiTheme="minorHAnsi" w:hAnsiTheme="minorHAnsi"/>
        <w:b/>
        <w:sz w:val="20"/>
        <w:szCs w:val="20"/>
        <w:lang w:val="es-ES"/>
      </w:rPr>
    </w:pPr>
    <w:r>
      <w:rPr>
        <w:rFonts w:asciiTheme="minorHAnsi" w:hAnsiTheme="minorHAnsi"/>
        <w:b/>
        <w:sz w:val="20"/>
        <w:szCs w:val="20"/>
        <w:lang w:val="es-ES"/>
      </w:rPr>
      <w:t>C</w:t>
    </w:r>
    <w:r w:rsidR="00396DD0">
      <w:rPr>
        <w:rFonts w:asciiTheme="minorHAnsi" w:hAnsiTheme="minorHAnsi"/>
        <w:b/>
        <w:sz w:val="20"/>
        <w:szCs w:val="20"/>
        <w:lang w:val="es-ES"/>
      </w:rPr>
      <w:t>uenta Pública 2018</w:t>
    </w:r>
  </w:p>
  <w:p w:rsidR="00931024" w:rsidRDefault="00931024" w:rsidP="00DF3CDB">
    <w:pPr>
      <w:pStyle w:val="Encabezado"/>
      <w:jc w:val="center"/>
      <w:rPr>
        <w:rFonts w:asciiTheme="minorHAnsi" w:hAnsiTheme="minorHAnsi"/>
        <w:b/>
        <w:sz w:val="20"/>
        <w:szCs w:val="20"/>
        <w:lang w:val="es-ES"/>
      </w:rPr>
    </w:pPr>
    <w:r>
      <w:rPr>
        <w:rFonts w:asciiTheme="minorHAnsi" w:hAnsiTheme="minorHAnsi"/>
        <w:b/>
        <w:sz w:val="20"/>
        <w:szCs w:val="20"/>
        <w:lang w:val="es-ES"/>
      </w:rPr>
      <w:t>Notas a los Estados Financieros</w:t>
    </w:r>
  </w:p>
  <w:p w:rsidR="00931024" w:rsidRDefault="00931024" w:rsidP="00DF3CDB">
    <w:pPr>
      <w:pStyle w:val="Encabezado"/>
      <w:jc w:val="center"/>
      <w:rPr>
        <w:rFonts w:asciiTheme="minorHAnsi" w:hAnsiTheme="minorHAnsi"/>
        <w:b/>
        <w:sz w:val="20"/>
        <w:szCs w:val="20"/>
        <w:lang w:val="es-ES"/>
      </w:rPr>
    </w:pPr>
    <w:r>
      <w:rPr>
        <w:rFonts w:asciiTheme="minorHAnsi" w:hAnsiTheme="minorHAnsi"/>
        <w:b/>
        <w:sz w:val="20"/>
        <w:szCs w:val="20"/>
        <w:lang w:val="es-ES"/>
      </w:rPr>
      <w:t>Al 31</w:t>
    </w:r>
    <w:r w:rsidRPr="00A76FFB">
      <w:rPr>
        <w:rFonts w:asciiTheme="minorHAnsi" w:hAnsiTheme="minorHAnsi"/>
        <w:b/>
        <w:sz w:val="20"/>
        <w:szCs w:val="20"/>
        <w:lang w:val="es-ES"/>
      </w:rPr>
      <w:t xml:space="preserve"> de </w:t>
    </w:r>
    <w:r w:rsidR="00900104">
      <w:rPr>
        <w:rFonts w:asciiTheme="minorHAnsi" w:hAnsiTheme="minorHAnsi"/>
        <w:b/>
        <w:sz w:val="20"/>
        <w:szCs w:val="20"/>
        <w:lang w:val="es-ES"/>
      </w:rPr>
      <w:t>Marzo</w:t>
    </w:r>
    <w:r w:rsidR="00396DD0">
      <w:rPr>
        <w:rFonts w:asciiTheme="minorHAnsi" w:hAnsiTheme="minorHAnsi"/>
        <w:b/>
        <w:sz w:val="20"/>
        <w:szCs w:val="20"/>
        <w:lang w:val="es-ES"/>
      </w:rPr>
      <w:t xml:space="preserve"> de 2018</w:t>
    </w:r>
  </w:p>
  <w:p w:rsidR="00931024" w:rsidRDefault="00931024" w:rsidP="00DF3CDB">
    <w:pPr>
      <w:pStyle w:val="Encabezado"/>
      <w:jc w:val="center"/>
      <w:rPr>
        <w:rFonts w:asciiTheme="minorHAnsi" w:hAnsiTheme="minorHAnsi"/>
        <w:b/>
        <w:sz w:val="20"/>
        <w:szCs w:val="20"/>
        <w:lang w:val="es-ES"/>
      </w:rPr>
    </w:pPr>
    <w:r>
      <w:rPr>
        <w:rFonts w:asciiTheme="minorHAnsi" w:hAnsiTheme="minorHAnsi"/>
        <w:b/>
        <w:sz w:val="20"/>
        <w:szCs w:val="20"/>
        <w:lang w:val="es-ES"/>
      </w:rPr>
      <w:t>Pesos</w:t>
    </w:r>
  </w:p>
  <w:p w:rsidR="00931024" w:rsidRDefault="00931024" w:rsidP="00DF3CDB">
    <w:pPr>
      <w:pStyle w:val="Encabezado"/>
      <w:jc w:val="center"/>
      <w:rPr>
        <w:rFonts w:asciiTheme="minorHAnsi" w:hAnsiTheme="minorHAnsi"/>
        <w:b/>
        <w:sz w:val="20"/>
        <w:szCs w:val="20"/>
        <w:lang w:val="es-ES"/>
      </w:rPr>
    </w:pPr>
  </w:p>
  <w:p w:rsidR="00931024" w:rsidRDefault="00931024" w:rsidP="000E44C7">
    <w:pPr>
      <w:pStyle w:val="Encabezado"/>
      <w:rPr>
        <w:rFonts w:asciiTheme="minorHAnsi" w:hAnsiTheme="minorHAnsi"/>
        <w:b/>
        <w:sz w:val="20"/>
        <w:szCs w:val="20"/>
        <w:lang w:val="es-ES"/>
      </w:rPr>
    </w:pPr>
    <w:r>
      <w:rPr>
        <w:rFonts w:asciiTheme="minorHAnsi" w:hAnsiTheme="minorHAnsi"/>
        <w:b/>
        <w:sz w:val="20"/>
        <w:szCs w:val="20"/>
        <w:lang w:val="es-ES"/>
      </w:rPr>
      <w:t xml:space="preserve">Ente Público: </w:t>
    </w:r>
    <w:r w:rsidRPr="00DF3CDB">
      <w:rPr>
        <w:rFonts w:asciiTheme="minorHAnsi" w:hAnsiTheme="minorHAnsi"/>
        <w:b/>
        <w:sz w:val="20"/>
        <w:szCs w:val="20"/>
        <w:lang w:val="es-ES"/>
      </w:rPr>
      <w:t>Auditoria Superior del Estado.</w:t>
    </w:r>
  </w:p>
  <w:p w:rsidR="00931024" w:rsidRPr="000E44C7" w:rsidRDefault="00931024" w:rsidP="000E44C7">
    <w:pPr>
      <w:pStyle w:val="Encabezado"/>
      <w:rPr>
        <w:rFonts w:asciiTheme="minorHAnsi" w:hAnsiTheme="minorHAnsi"/>
        <w:b/>
        <w:sz w:val="20"/>
        <w:szCs w:val="20"/>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A485B"/>
    <w:multiLevelType w:val="hybridMultilevel"/>
    <w:tmpl w:val="D6C27EFA"/>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189E14BF"/>
    <w:multiLevelType w:val="hybridMultilevel"/>
    <w:tmpl w:val="C742A2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26694C70"/>
    <w:multiLevelType w:val="hybridMultilevel"/>
    <w:tmpl w:val="2D9C311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28527EFA"/>
    <w:multiLevelType w:val="hybridMultilevel"/>
    <w:tmpl w:val="02EC8CC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65856AB6"/>
    <w:multiLevelType w:val="hybridMultilevel"/>
    <w:tmpl w:val="51CEBC2E"/>
    <w:lvl w:ilvl="0" w:tplc="080A0017">
      <w:start w:val="5"/>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26F"/>
    <w:rsid w:val="00001B4A"/>
    <w:rsid w:val="00004055"/>
    <w:rsid w:val="00011754"/>
    <w:rsid w:val="000122D6"/>
    <w:rsid w:val="00015AEA"/>
    <w:rsid w:val="00015BF8"/>
    <w:rsid w:val="00016B70"/>
    <w:rsid w:val="000174B7"/>
    <w:rsid w:val="00024214"/>
    <w:rsid w:val="00026540"/>
    <w:rsid w:val="0003016C"/>
    <w:rsid w:val="00030F86"/>
    <w:rsid w:val="0003357E"/>
    <w:rsid w:val="000358B8"/>
    <w:rsid w:val="00035D71"/>
    <w:rsid w:val="00036289"/>
    <w:rsid w:val="000378C2"/>
    <w:rsid w:val="00044CA9"/>
    <w:rsid w:val="00045BEA"/>
    <w:rsid w:val="00046612"/>
    <w:rsid w:val="00047C85"/>
    <w:rsid w:val="00051645"/>
    <w:rsid w:val="00053A44"/>
    <w:rsid w:val="00053E92"/>
    <w:rsid w:val="00055144"/>
    <w:rsid w:val="000554B1"/>
    <w:rsid w:val="0005603A"/>
    <w:rsid w:val="00057F14"/>
    <w:rsid w:val="0006190C"/>
    <w:rsid w:val="00063F2E"/>
    <w:rsid w:val="0006589F"/>
    <w:rsid w:val="00065BF4"/>
    <w:rsid w:val="0007080F"/>
    <w:rsid w:val="00071A48"/>
    <w:rsid w:val="000735A1"/>
    <w:rsid w:val="000736E5"/>
    <w:rsid w:val="000749D4"/>
    <w:rsid w:val="000753B8"/>
    <w:rsid w:val="00075E13"/>
    <w:rsid w:val="00076907"/>
    <w:rsid w:val="000803B8"/>
    <w:rsid w:val="00087921"/>
    <w:rsid w:val="00090808"/>
    <w:rsid w:val="0009131B"/>
    <w:rsid w:val="00097CC6"/>
    <w:rsid w:val="000A3771"/>
    <w:rsid w:val="000A583C"/>
    <w:rsid w:val="000A6A75"/>
    <w:rsid w:val="000A705C"/>
    <w:rsid w:val="000B0D87"/>
    <w:rsid w:val="000B1283"/>
    <w:rsid w:val="000B3BCC"/>
    <w:rsid w:val="000B5EB7"/>
    <w:rsid w:val="000C181A"/>
    <w:rsid w:val="000C2F0A"/>
    <w:rsid w:val="000C462E"/>
    <w:rsid w:val="000C4F3D"/>
    <w:rsid w:val="000D4798"/>
    <w:rsid w:val="000D6356"/>
    <w:rsid w:val="000D76D2"/>
    <w:rsid w:val="000D7808"/>
    <w:rsid w:val="000D7832"/>
    <w:rsid w:val="000E44C7"/>
    <w:rsid w:val="000E5D63"/>
    <w:rsid w:val="000F4D1D"/>
    <w:rsid w:val="000F5E3A"/>
    <w:rsid w:val="000F6959"/>
    <w:rsid w:val="000F6D24"/>
    <w:rsid w:val="000F7485"/>
    <w:rsid w:val="0010217D"/>
    <w:rsid w:val="00102570"/>
    <w:rsid w:val="0011066F"/>
    <w:rsid w:val="00110A27"/>
    <w:rsid w:val="00110FCB"/>
    <w:rsid w:val="001114D8"/>
    <w:rsid w:val="001124B1"/>
    <w:rsid w:val="00113785"/>
    <w:rsid w:val="00114BCA"/>
    <w:rsid w:val="0012005E"/>
    <w:rsid w:val="00120DB9"/>
    <w:rsid w:val="00121980"/>
    <w:rsid w:val="00125C2E"/>
    <w:rsid w:val="0013095C"/>
    <w:rsid w:val="00132348"/>
    <w:rsid w:val="00132F86"/>
    <w:rsid w:val="00134B0A"/>
    <w:rsid w:val="00135484"/>
    <w:rsid w:val="00136252"/>
    <w:rsid w:val="00136F06"/>
    <w:rsid w:val="00141A2B"/>
    <w:rsid w:val="00141B43"/>
    <w:rsid w:val="00142D7C"/>
    <w:rsid w:val="00152275"/>
    <w:rsid w:val="00153BA5"/>
    <w:rsid w:val="001606D1"/>
    <w:rsid w:val="00161110"/>
    <w:rsid w:val="00161814"/>
    <w:rsid w:val="00162285"/>
    <w:rsid w:val="00163C73"/>
    <w:rsid w:val="001653C9"/>
    <w:rsid w:val="0016654D"/>
    <w:rsid w:val="001709D5"/>
    <w:rsid w:val="0017104D"/>
    <w:rsid w:val="001715F6"/>
    <w:rsid w:val="001726EB"/>
    <w:rsid w:val="0017426A"/>
    <w:rsid w:val="00181821"/>
    <w:rsid w:val="0018184E"/>
    <w:rsid w:val="00184FB1"/>
    <w:rsid w:val="00185695"/>
    <w:rsid w:val="001931AD"/>
    <w:rsid w:val="001962D0"/>
    <w:rsid w:val="00196851"/>
    <w:rsid w:val="001A09D5"/>
    <w:rsid w:val="001A300A"/>
    <w:rsid w:val="001A31A2"/>
    <w:rsid w:val="001B02D6"/>
    <w:rsid w:val="001B2942"/>
    <w:rsid w:val="001B46CE"/>
    <w:rsid w:val="001B64D4"/>
    <w:rsid w:val="001B6E55"/>
    <w:rsid w:val="001C01F2"/>
    <w:rsid w:val="001C4FBB"/>
    <w:rsid w:val="001C5390"/>
    <w:rsid w:val="001C53B1"/>
    <w:rsid w:val="001C6E6C"/>
    <w:rsid w:val="001C7149"/>
    <w:rsid w:val="001D14EF"/>
    <w:rsid w:val="001D15BF"/>
    <w:rsid w:val="001D1B8C"/>
    <w:rsid w:val="001D1EFB"/>
    <w:rsid w:val="001D2772"/>
    <w:rsid w:val="001D305B"/>
    <w:rsid w:val="001E13DE"/>
    <w:rsid w:val="001E1881"/>
    <w:rsid w:val="001E397A"/>
    <w:rsid w:val="001F1819"/>
    <w:rsid w:val="001F1C41"/>
    <w:rsid w:val="001F58E6"/>
    <w:rsid w:val="001F607A"/>
    <w:rsid w:val="00202036"/>
    <w:rsid w:val="002066EE"/>
    <w:rsid w:val="0021669A"/>
    <w:rsid w:val="00220A6C"/>
    <w:rsid w:val="002221EB"/>
    <w:rsid w:val="00223946"/>
    <w:rsid w:val="00223DFD"/>
    <w:rsid w:val="002262EF"/>
    <w:rsid w:val="00226448"/>
    <w:rsid w:val="002264E7"/>
    <w:rsid w:val="002319F7"/>
    <w:rsid w:val="00232ADB"/>
    <w:rsid w:val="00232FC1"/>
    <w:rsid w:val="00236D3D"/>
    <w:rsid w:val="0024052C"/>
    <w:rsid w:val="0024057C"/>
    <w:rsid w:val="00240688"/>
    <w:rsid w:val="00245C4A"/>
    <w:rsid w:val="00246196"/>
    <w:rsid w:val="002463C7"/>
    <w:rsid w:val="00250A25"/>
    <w:rsid w:val="00250B8F"/>
    <w:rsid w:val="0025291A"/>
    <w:rsid w:val="00253C68"/>
    <w:rsid w:val="002559D8"/>
    <w:rsid w:val="00255C24"/>
    <w:rsid w:val="002619D6"/>
    <w:rsid w:val="0026203E"/>
    <w:rsid w:val="00263C24"/>
    <w:rsid w:val="00267D25"/>
    <w:rsid w:val="002710F7"/>
    <w:rsid w:val="002715CF"/>
    <w:rsid w:val="00271A46"/>
    <w:rsid w:val="00272BCD"/>
    <w:rsid w:val="0027632E"/>
    <w:rsid w:val="00280C57"/>
    <w:rsid w:val="0028308E"/>
    <w:rsid w:val="00285401"/>
    <w:rsid w:val="0028655F"/>
    <w:rsid w:val="00287A0C"/>
    <w:rsid w:val="00287C91"/>
    <w:rsid w:val="00290477"/>
    <w:rsid w:val="00293F6F"/>
    <w:rsid w:val="00293FE7"/>
    <w:rsid w:val="00295BB3"/>
    <w:rsid w:val="00296CCF"/>
    <w:rsid w:val="002A0983"/>
    <w:rsid w:val="002A569C"/>
    <w:rsid w:val="002A5F14"/>
    <w:rsid w:val="002A679C"/>
    <w:rsid w:val="002A6B28"/>
    <w:rsid w:val="002A6BCC"/>
    <w:rsid w:val="002A7C7A"/>
    <w:rsid w:val="002B0B43"/>
    <w:rsid w:val="002B1562"/>
    <w:rsid w:val="002C2687"/>
    <w:rsid w:val="002C3B44"/>
    <w:rsid w:val="002C5695"/>
    <w:rsid w:val="002D1477"/>
    <w:rsid w:val="002D2690"/>
    <w:rsid w:val="002D3D37"/>
    <w:rsid w:val="002D59B9"/>
    <w:rsid w:val="002D681F"/>
    <w:rsid w:val="002D7594"/>
    <w:rsid w:val="002E38EB"/>
    <w:rsid w:val="002E437C"/>
    <w:rsid w:val="002E601B"/>
    <w:rsid w:val="002E788D"/>
    <w:rsid w:val="002F1B02"/>
    <w:rsid w:val="002F1FA3"/>
    <w:rsid w:val="002F20C7"/>
    <w:rsid w:val="002F24BB"/>
    <w:rsid w:val="002F2749"/>
    <w:rsid w:val="002F3DCE"/>
    <w:rsid w:val="0030130B"/>
    <w:rsid w:val="00307596"/>
    <w:rsid w:val="003110D9"/>
    <w:rsid w:val="00311884"/>
    <w:rsid w:val="003125A6"/>
    <w:rsid w:val="003125C8"/>
    <w:rsid w:val="0031346E"/>
    <w:rsid w:val="00313554"/>
    <w:rsid w:val="0031689D"/>
    <w:rsid w:val="00322393"/>
    <w:rsid w:val="00322FFE"/>
    <w:rsid w:val="003237BB"/>
    <w:rsid w:val="00325D9D"/>
    <w:rsid w:val="00327173"/>
    <w:rsid w:val="0033126B"/>
    <w:rsid w:val="0033324B"/>
    <w:rsid w:val="00336B55"/>
    <w:rsid w:val="0033731C"/>
    <w:rsid w:val="00341471"/>
    <w:rsid w:val="00343A40"/>
    <w:rsid w:val="0035373D"/>
    <w:rsid w:val="003563D0"/>
    <w:rsid w:val="003568C2"/>
    <w:rsid w:val="00361760"/>
    <w:rsid w:val="003631FD"/>
    <w:rsid w:val="003633CA"/>
    <w:rsid w:val="0037737E"/>
    <w:rsid w:val="00381B67"/>
    <w:rsid w:val="00381F3C"/>
    <w:rsid w:val="00383A7D"/>
    <w:rsid w:val="003841BB"/>
    <w:rsid w:val="00385AB5"/>
    <w:rsid w:val="00392F15"/>
    <w:rsid w:val="0039469E"/>
    <w:rsid w:val="00396088"/>
    <w:rsid w:val="003969C3"/>
    <w:rsid w:val="00396DD0"/>
    <w:rsid w:val="00397142"/>
    <w:rsid w:val="003974AC"/>
    <w:rsid w:val="00397C08"/>
    <w:rsid w:val="003A0965"/>
    <w:rsid w:val="003B1496"/>
    <w:rsid w:val="003B2122"/>
    <w:rsid w:val="003C17BE"/>
    <w:rsid w:val="003C1AF8"/>
    <w:rsid w:val="003C2E59"/>
    <w:rsid w:val="003D0C1A"/>
    <w:rsid w:val="003D4D09"/>
    <w:rsid w:val="003D72EF"/>
    <w:rsid w:val="003E06CF"/>
    <w:rsid w:val="003E1B0D"/>
    <w:rsid w:val="003E46D8"/>
    <w:rsid w:val="003F0705"/>
    <w:rsid w:val="003F588D"/>
    <w:rsid w:val="003F7909"/>
    <w:rsid w:val="00400127"/>
    <w:rsid w:val="004002FF"/>
    <w:rsid w:val="004014F8"/>
    <w:rsid w:val="00405860"/>
    <w:rsid w:val="00406B45"/>
    <w:rsid w:val="00410821"/>
    <w:rsid w:val="00412AD5"/>
    <w:rsid w:val="00413B16"/>
    <w:rsid w:val="00413E5A"/>
    <w:rsid w:val="0041593E"/>
    <w:rsid w:val="0042089B"/>
    <w:rsid w:val="004211AA"/>
    <w:rsid w:val="00422BCD"/>
    <w:rsid w:val="004247E2"/>
    <w:rsid w:val="004304C7"/>
    <w:rsid w:val="0043156C"/>
    <w:rsid w:val="00432B3F"/>
    <w:rsid w:val="00434832"/>
    <w:rsid w:val="00436118"/>
    <w:rsid w:val="00446814"/>
    <w:rsid w:val="004521C4"/>
    <w:rsid w:val="00455382"/>
    <w:rsid w:val="00455D65"/>
    <w:rsid w:val="0046008E"/>
    <w:rsid w:val="00462597"/>
    <w:rsid w:val="00462F7A"/>
    <w:rsid w:val="00463626"/>
    <w:rsid w:val="00464994"/>
    <w:rsid w:val="0046540D"/>
    <w:rsid w:val="00466FE6"/>
    <w:rsid w:val="004677D4"/>
    <w:rsid w:val="00467BAA"/>
    <w:rsid w:val="00473F5D"/>
    <w:rsid w:val="00474980"/>
    <w:rsid w:val="00475618"/>
    <w:rsid w:val="0048032B"/>
    <w:rsid w:val="00484946"/>
    <w:rsid w:val="0048507C"/>
    <w:rsid w:val="00486BAA"/>
    <w:rsid w:val="00486CA6"/>
    <w:rsid w:val="00491406"/>
    <w:rsid w:val="004A1B9D"/>
    <w:rsid w:val="004A2EAE"/>
    <w:rsid w:val="004A4D10"/>
    <w:rsid w:val="004A5885"/>
    <w:rsid w:val="004A7169"/>
    <w:rsid w:val="004B06A4"/>
    <w:rsid w:val="004B1519"/>
    <w:rsid w:val="004C6B94"/>
    <w:rsid w:val="004D1940"/>
    <w:rsid w:val="004D19DD"/>
    <w:rsid w:val="004D30D9"/>
    <w:rsid w:val="004D349B"/>
    <w:rsid w:val="004E013C"/>
    <w:rsid w:val="004E5703"/>
    <w:rsid w:val="004E59C5"/>
    <w:rsid w:val="004E7F84"/>
    <w:rsid w:val="004F1C1E"/>
    <w:rsid w:val="004F3D95"/>
    <w:rsid w:val="004F5034"/>
    <w:rsid w:val="004F6BEE"/>
    <w:rsid w:val="004F6D7A"/>
    <w:rsid w:val="00501917"/>
    <w:rsid w:val="00502B56"/>
    <w:rsid w:val="00503372"/>
    <w:rsid w:val="00504772"/>
    <w:rsid w:val="00505FF7"/>
    <w:rsid w:val="00506604"/>
    <w:rsid w:val="00510241"/>
    <w:rsid w:val="00511113"/>
    <w:rsid w:val="0051142D"/>
    <w:rsid w:val="005124E4"/>
    <w:rsid w:val="00512788"/>
    <w:rsid w:val="00512E24"/>
    <w:rsid w:val="00513DE6"/>
    <w:rsid w:val="005141E3"/>
    <w:rsid w:val="005146CB"/>
    <w:rsid w:val="00514721"/>
    <w:rsid w:val="0051667A"/>
    <w:rsid w:val="005215C6"/>
    <w:rsid w:val="00523C41"/>
    <w:rsid w:val="00530D80"/>
    <w:rsid w:val="0053110D"/>
    <w:rsid w:val="005318FB"/>
    <w:rsid w:val="00541250"/>
    <w:rsid w:val="00541BAB"/>
    <w:rsid w:val="005425A2"/>
    <w:rsid w:val="005430C6"/>
    <w:rsid w:val="00544389"/>
    <w:rsid w:val="0054487D"/>
    <w:rsid w:val="00545FD0"/>
    <w:rsid w:val="005469E5"/>
    <w:rsid w:val="00551FFC"/>
    <w:rsid w:val="0055220D"/>
    <w:rsid w:val="00552982"/>
    <w:rsid w:val="00553395"/>
    <w:rsid w:val="0055709D"/>
    <w:rsid w:val="005573BC"/>
    <w:rsid w:val="0056096D"/>
    <w:rsid w:val="005665EE"/>
    <w:rsid w:val="00570ECF"/>
    <w:rsid w:val="0057168F"/>
    <w:rsid w:val="0057632D"/>
    <w:rsid w:val="005807D7"/>
    <w:rsid w:val="00580A40"/>
    <w:rsid w:val="005810F1"/>
    <w:rsid w:val="00582155"/>
    <w:rsid w:val="00583713"/>
    <w:rsid w:val="005861F3"/>
    <w:rsid w:val="00587B9B"/>
    <w:rsid w:val="00592C64"/>
    <w:rsid w:val="005A0303"/>
    <w:rsid w:val="005A0C08"/>
    <w:rsid w:val="005A21C2"/>
    <w:rsid w:val="005A4A80"/>
    <w:rsid w:val="005A5EC6"/>
    <w:rsid w:val="005A6239"/>
    <w:rsid w:val="005A6699"/>
    <w:rsid w:val="005B1ADE"/>
    <w:rsid w:val="005B3DF1"/>
    <w:rsid w:val="005B6E0F"/>
    <w:rsid w:val="005B7022"/>
    <w:rsid w:val="005B7ABA"/>
    <w:rsid w:val="005B7C0A"/>
    <w:rsid w:val="005B7E64"/>
    <w:rsid w:val="005C0B05"/>
    <w:rsid w:val="005C16B9"/>
    <w:rsid w:val="005C5272"/>
    <w:rsid w:val="005C7D4B"/>
    <w:rsid w:val="005D12B2"/>
    <w:rsid w:val="005D15DB"/>
    <w:rsid w:val="005D175D"/>
    <w:rsid w:val="005D32BD"/>
    <w:rsid w:val="005D4F8F"/>
    <w:rsid w:val="005E4D8C"/>
    <w:rsid w:val="005E559B"/>
    <w:rsid w:val="005F20B9"/>
    <w:rsid w:val="005F358D"/>
    <w:rsid w:val="005F618D"/>
    <w:rsid w:val="00602968"/>
    <w:rsid w:val="00607DAD"/>
    <w:rsid w:val="0062201B"/>
    <w:rsid w:val="00623F5A"/>
    <w:rsid w:val="00627E72"/>
    <w:rsid w:val="00632E9B"/>
    <w:rsid w:val="00634945"/>
    <w:rsid w:val="00641989"/>
    <w:rsid w:val="00642979"/>
    <w:rsid w:val="00642997"/>
    <w:rsid w:val="00646262"/>
    <w:rsid w:val="00646942"/>
    <w:rsid w:val="00647093"/>
    <w:rsid w:val="006475C6"/>
    <w:rsid w:val="00651353"/>
    <w:rsid w:val="00651757"/>
    <w:rsid w:val="00652904"/>
    <w:rsid w:val="006569A5"/>
    <w:rsid w:val="006604BC"/>
    <w:rsid w:val="00661344"/>
    <w:rsid w:val="00663791"/>
    <w:rsid w:val="006702E2"/>
    <w:rsid w:val="00672759"/>
    <w:rsid w:val="00674D8B"/>
    <w:rsid w:val="00676D1D"/>
    <w:rsid w:val="00677361"/>
    <w:rsid w:val="006774F7"/>
    <w:rsid w:val="00680D61"/>
    <w:rsid w:val="0068302D"/>
    <w:rsid w:val="0068515F"/>
    <w:rsid w:val="006900C9"/>
    <w:rsid w:val="00694C75"/>
    <w:rsid w:val="006A1160"/>
    <w:rsid w:val="006A26A8"/>
    <w:rsid w:val="006A6E51"/>
    <w:rsid w:val="006A78D8"/>
    <w:rsid w:val="006B1427"/>
    <w:rsid w:val="006B3168"/>
    <w:rsid w:val="006B4CE6"/>
    <w:rsid w:val="006B6181"/>
    <w:rsid w:val="006B7641"/>
    <w:rsid w:val="006C01C8"/>
    <w:rsid w:val="006C0C42"/>
    <w:rsid w:val="006C2B4F"/>
    <w:rsid w:val="006C7312"/>
    <w:rsid w:val="006C79A0"/>
    <w:rsid w:val="006C79FC"/>
    <w:rsid w:val="006D3539"/>
    <w:rsid w:val="006D5644"/>
    <w:rsid w:val="006D5E2D"/>
    <w:rsid w:val="006D6413"/>
    <w:rsid w:val="006D71DD"/>
    <w:rsid w:val="006D7AE1"/>
    <w:rsid w:val="006E122F"/>
    <w:rsid w:val="006E3265"/>
    <w:rsid w:val="006E453C"/>
    <w:rsid w:val="006E477B"/>
    <w:rsid w:val="006E51EE"/>
    <w:rsid w:val="006E6B83"/>
    <w:rsid w:val="006F463E"/>
    <w:rsid w:val="006F5A7D"/>
    <w:rsid w:val="006F68F5"/>
    <w:rsid w:val="006F753C"/>
    <w:rsid w:val="006F7A1C"/>
    <w:rsid w:val="006F7CEC"/>
    <w:rsid w:val="007008F3"/>
    <w:rsid w:val="00702128"/>
    <w:rsid w:val="00716CF1"/>
    <w:rsid w:val="00717E83"/>
    <w:rsid w:val="007215B7"/>
    <w:rsid w:val="0072434C"/>
    <w:rsid w:val="00724BF4"/>
    <w:rsid w:val="00727027"/>
    <w:rsid w:val="00731169"/>
    <w:rsid w:val="007330F6"/>
    <w:rsid w:val="00734FE3"/>
    <w:rsid w:val="007359E6"/>
    <w:rsid w:val="00737E50"/>
    <w:rsid w:val="00740EE8"/>
    <w:rsid w:val="0074191E"/>
    <w:rsid w:val="00750CB8"/>
    <w:rsid w:val="00751F52"/>
    <w:rsid w:val="007548EE"/>
    <w:rsid w:val="007563DD"/>
    <w:rsid w:val="0075679B"/>
    <w:rsid w:val="007605C4"/>
    <w:rsid w:val="00761CB8"/>
    <w:rsid w:val="007640EF"/>
    <w:rsid w:val="0077373D"/>
    <w:rsid w:val="00774C0F"/>
    <w:rsid w:val="00781827"/>
    <w:rsid w:val="00781E6A"/>
    <w:rsid w:val="0078233F"/>
    <w:rsid w:val="00784AA8"/>
    <w:rsid w:val="007854B0"/>
    <w:rsid w:val="0079518E"/>
    <w:rsid w:val="007962ED"/>
    <w:rsid w:val="007A0A23"/>
    <w:rsid w:val="007A15DC"/>
    <w:rsid w:val="007A34B0"/>
    <w:rsid w:val="007A48D5"/>
    <w:rsid w:val="007A604E"/>
    <w:rsid w:val="007A64DA"/>
    <w:rsid w:val="007B5C7A"/>
    <w:rsid w:val="007B7270"/>
    <w:rsid w:val="007C2A95"/>
    <w:rsid w:val="007C3C55"/>
    <w:rsid w:val="007C664D"/>
    <w:rsid w:val="007D14EF"/>
    <w:rsid w:val="007D2E6F"/>
    <w:rsid w:val="007D3E70"/>
    <w:rsid w:val="007D498E"/>
    <w:rsid w:val="007D509B"/>
    <w:rsid w:val="007E0054"/>
    <w:rsid w:val="007E2233"/>
    <w:rsid w:val="007E7A3E"/>
    <w:rsid w:val="007F0CEF"/>
    <w:rsid w:val="007F59AC"/>
    <w:rsid w:val="00800109"/>
    <w:rsid w:val="008072F2"/>
    <w:rsid w:val="0080794E"/>
    <w:rsid w:val="00807A95"/>
    <w:rsid w:val="008104CF"/>
    <w:rsid w:val="0081186B"/>
    <w:rsid w:val="00812F5F"/>
    <w:rsid w:val="008141EE"/>
    <w:rsid w:val="008158B3"/>
    <w:rsid w:val="0081619B"/>
    <w:rsid w:val="00822D59"/>
    <w:rsid w:val="00823846"/>
    <w:rsid w:val="00823E77"/>
    <w:rsid w:val="00824977"/>
    <w:rsid w:val="00824BC7"/>
    <w:rsid w:val="00830FE4"/>
    <w:rsid w:val="00831D5B"/>
    <w:rsid w:val="00832044"/>
    <w:rsid w:val="00834A92"/>
    <w:rsid w:val="00835E31"/>
    <w:rsid w:val="008406FB"/>
    <w:rsid w:val="00841537"/>
    <w:rsid w:val="0084382D"/>
    <w:rsid w:val="00844D96"/>
    <w:rsid w:val="00853A51"/>
    <w:rsid w:val="00854DFF"/>
    <w:rsid w:val="0086014C"/>
    <w:rsid w:val="008623F2"/>
    <w:rsid w:val="008632B8"/>
    <w:rsid w:val="00863F0C"/>
    <w:rsid w:val="00864E74"/>
    <w:rsid w:val="00865360"/>
    <w:rsid w:val="00866579"/>
    <w:rsid w:val="0087119B"/>
    <w:rsid w:val="00872E7D"/>
    <w:rsid w:val="00875DCE"/>
    <w:rsid w:val="00876A26"/>
    <w:rsid w:val="008817D5"/>
    <w:rsid w:val="008822B5"/>
    <w:rsid w:val="00882B61"/>
    <w:rsid w:val="00882F5B"/>
    <w:rsid w:val="00885B36"/>
    <w:rsid w:val="00893BE8"/>
    <w:rsid w:val="008972C3"/>
    <w:rsid w:val="008A43E1"/>
    <w:rsid w:val="008B0EF9"/>
    <w:rsid w:val="008B0F21"/>
    <w:rsid w:val="008B2C4A"/>
    <w:rsid w:val="008B46E2"/>
    <w:rsid w:val="008C0206"/>
    <w:rsid w:val="008C1C0C"/>
    <w:rsid w:val="008C2922"/>
    <w:rsid w:val="008C3E06"/>
    <w:rsid w:val="008C5ED2"/>
    <w:rsid w:val="008D3FAE"/>
    <w:rsid w:val="008D4CDC"/>
    <w:rsid w:val="008D7080"/>
    <w:rsid w:val="008E3C86"/>
    <w:rsid w:val="008E405F"/>
    <w:rsid w:val="008E476E"/>
    <w:rsid w:val="008E4CC7"/>
    <w:rsid w:val="008F0A41"/>
    <w:rsid w:val="008F52E9"/>
    <w:rsid w:val="008F6211"/>
    <w:rsid w:val="00900104"/>
    <w:rsid w:val="009010ED"/>
    <w:rsid w:val="0090155B"/>
    <w:rsid w:val="00901F62"/>
    <w:rsid w:val="00901F8B"/>
    <w:rsid w:val="00902D4E"/>
    <w:rsid w:val="00912CAC"/>
    <w:rsid w:val="00915CF7"/>
    <w:rsid w:val="00917835"/>
    <w:rsid w:val="009234B8"/>
    <w:rsid w:val="0092371B"/>
    <w:rsid w:val="00927E82"/>
    <w:rsid w:val="00927ED8"/>
    <w:rsid w:val="00930DDC"/>
    <w:rsid w:val="00931024"/>
    <w:rsid w:val="00931F83"/>
    <w:rsid w:val="00933ABD"/>
    <w:rsid w:val="009509A9"/>
    <w:rsid w:val="00952997"/>
    <w:rsid w:val="00957490"/>
    <w:rsid w:val="009600EC"/>
    <w:rsid w:val="009609F8"/>
    <w:rsid w:val="00961F58"/>
    <w:rsid w:val="00962E7A"/>
    <w:rsid w:val="00964840"/>
    <w:rsid w:val="0096609C"/>
    <w:rsid w:val="0097128F"/>
    <w:rsid w:val="00975F98"/>
    <w:rsid w:val="009760B7"/>
    <w:rsid w:val="00980E73"/>
    <w:rsid w:val="00987D5E"/>
    <w:rsid w:val="00996877"/>
    <w:rsid w:val="00996BE7"/>
    <w:rsid w:val="009A28CC"/>
    <w:rsid w:val="009A73D7"/>
    <w:rsid w:val="009B0975"/>
    <w:rsid w:val="009B182F"/>
    <w:rsid w:val="009B2924"/>
    <w:rsid w:val="009B7842"/>
    <w:rsid w:val="009C12B7"/>
    <w:rsid w:val="009C1424"/>
    <w:rsid w:val="009C155B"/>
    <w:rsid w:val="009C49FE"/>
    <w:rsid w:val="009C678D"/>
    <w:rsid w:val="009D018B"/>
    <w:rsid w:val="009D1329"/>
    <w:rsid w:val="009D2AB9"/>
    <w:rsid w:val="009D404B"/>
    <w:rsid w:val="009D570C"/>
    <w:rsid w:val="009E0629"/>
    <w:rsid w:val="009E331E"/>
    <w:rsid w:val="009F0EFF"/>
    <w:rsid w:val="009F0F65"/>
    <w:rsid w:val="009F44EF"/>
    <w:rsid w:val="00A001F6"/>
    <w:rsid w:val="00A044FF"/>
    <w:rsid w:val="00A06EE3"/>
    <w:rsid w:val="00A06EF8"/>
    <w:rsid w:val="00A27547"/>
    <w:rsid w:val="00A31858"/>
    <w:rsid w:val="00A3325A"/>
    <w:rsid w:val="00A33743"/>
    <w:rsid w:val="00A33962"/>
    <w:rsid w:val="00A33F87"/>
    <w:rsid w:val="00A40C8B"/>
    <w:rsid w:val="00A40D0C"/>
    <w:rsid w:val="00A4164E"/>
    <w:rsid w:val="00A41668"/>
    <w:rsid w:val="00A41A09"/>
    <w:rsid w:val="00A42CF5"/>
    <w:rsid w:val="00A43BB1"/>
    <w:rsid w:val="00A4469A"/>
    <w:rsid w:val="00A45B0B"/>
    <w:rsid w:val="00A507E8"/>
    <w:rsid w:val="00A532BE"/>
    <w:rsid w:val="00A62EA3"/>
    <w:rsid w:val="00A674EA"/>
    <w:rsid w:val="00A70CA9"/>
    <w:rsid w:val="00A70DAC"/>
    <w:rsid w:val="00A70DE6"/>
    <w:rsid w:val="00A72892"/>
    <w:rsid w:val="00A73FC3"/>
    <w:rsid w:val="00A76FFB"/>
    <w:rsid w:val="00A778FE"/>
    <w:rsid w:val="00A81892"/>
    <w:rsid w:val="00A8245A"/>
    <w:rsid w:val="00A842D3"/>
    <w:rsid w:val="00A957FF"/>
    <w:rsid w:val="00A95A66"/>
    <w:rsid w:val="00AA0933"/>
    <w:rsid w:val="00AA0B89"/>
    <w:rsid w:val="00AA6108"/>
    <w:rsid w:val="00AB05C1"/>
    <w:rsid w:val="00AB17C1"/>
    <w:rsid w:val="00AB1F0F"/>
    <w:rsid w:val="00AB65DC"/>
    <w:rsid w:val="00AC0E33"/>
    <w:rsid w:val="00AC3DC9"/>
    <w:rsid w:val="00AC563C"/>
    <w:rsid w:val="00AD0A14"/>
    <w:rsid w:val="00AD295F"/>
    <w:rsid w:val="00AD494C"/>
    <w:rsid w:val="00AD6B5D"/>
    <w:rsid w:val="00AE10D6"/>
    <w:rsid w:val="00AE20B0"/>
    <w:rsid w:val="00AE2234"/>
    <w:rsid w:val="00AE50C0"/>
    <w:rsid w:val="00AE6F69"/>
    <w:rsid w:val="00AF35CD"/>
    <w:rsid w:val="00AF405A"/>
    <w:rsid w:val="00AF6795"/>
    <w:rsid w:val="00AF6A49"/>
    <w:rsid w:val="00AF7941"/>
    <w:rsid w:val="00B00591"/>
    <w:rsid w:val="00B01E06"/>
    <w:rsid w:val="00B0685E"/>
    <w:rsid w:val="00B07EC6"/>
    <w:rsid w:val="00B12635"/>
    <w:rsid w:val="00B1695F"/>
    <w:rsid w:val="00B2100D"/>
    <w:rsid w:val="00B2155B"/>
    <w:rsid w:val="00B24A83"/>
    <w:rsid w:val="00B263EA"/>
    <w:rsid w:val="00B265B3"/>
    <w:rsid w:val="00B279E7"/>
    <w:rsid w:val="00B27B70"/>
    <w:rsid w:val="00B30DE4"/>
    <w:rsid w:val="00B34363"/>
    <w:rsid w:val="00B35F70"/>
    <w:rsid w:val="00B379AC"/>
    <w:rsid w:val="00B41F35"/>
    <w:rsid w:val="00B45330"/>
    <w:rsid w:val="00B45883"/>
    <w:rsid w:val="00B45E34"/>
    <w:rsid w:val="00B5229E"/>
    <w:rsid w:val="00B64D77"/>
    <w:rsid w:val="00B711A3"/>
    <w:rsid w:val="00B73292"/>
    <w:rsid w:val="00B75034"/>
    <w:rsid w:val="00B75B2D"/>
    <w:rsid w:val="00B812EC"/>
    <w:rsid w:val="00B81BA8"/>
    <w:rsid w:val="00B82A4C"/>
    <w:rsid w:val="00B833DD"/>
    <w:rsid w:val="00B83A89"/>
    <w:rsid w:val="00B849A7"/>
    <w:rsid w:val="00B863F3"/>
    <w:rsid w:val="00B87ABB"/>
    <w:rsid w:val="00B900C0"/>
    <w:rsid w:val="00B915A5"/>
    <w:rsid w:val="00B93AF4"/>
    <w:rsid w:val="00B948E2"/>
    <w:rsid w:val="00B94FD0"/>
    <w:rsid w:val="00B96409"/>
    <w:rsid w:val="00B970A5"/>
    <w:rsid w:val="00BA0EAA"/>
    <w:rsid w:val="00BA1CC6"/>
    <w:rsid w:val="00BA201F"/>
    <w:rsid w:val="00BA3CC9"/>
    <w:rsid w:val="00BA3F9C"/>
    <w:rsid w:val="00BA6AB8"/>
    <w:rsid w:val="00BB0F41"/>
    <w:rsid w:val="00BB4E04"/>
    <w:rsid w:val="00BB5FEE"/>
    <w:rsid w:val="00BC05AD"/>
    <w:rsid w:val="00BC1D83"/>
    <w:rsid w:val="00BC2F26"/>
    <w:rsid w:val="00BD118B"/>
    <w:rsid w:val="00BD4A5E"/>
    <w:rsid w:val="00BD6800"/>
    <w:rsid w:val="00BE5D68"/>
    <w:rsid w:val="00BF02F1"/>
    <w:rsid w:val="00BF139A"/>
    <w:rsid w:val="00BF3202"/>
    <w:rsid w:val="00C01282"/>
    <w:rsid w:val="00C10143"/>
    <w:rsid w:val="00C11049"/>
    <w:rsid w:val="00C12E27"/>
    <w:rsid w:val="00C14A4B"/>
    <w:rsid w:val="00C16320"/>
    <w:rsid w:val="00C16A41"/>
    <w:rsid w:val="00C20666"/>
    <w:rsid w:val="00C239D2"/>
    <w:rsid w:val="00C24ECA"/>
    <w:rsid w:val="00C2788A"/>
    <w:rsid w:val="00C27F53"/>
    <w:rsid w:val="00C30C9D"/>
    <w:rsid w:val="00C32468"/>
    <w:rsid w:val="00C32BA9"/>
    <w:rsid w:val="00C335BB"/>
    <w:rsid w:val="00C35C6C"/>
    <w:rsid w:val="00C364FD"/>
    <w:rsid w:val="00C373B8"/>
    <w:rsid w:val="00C41E4F"/>
    <w:rsid w:val="00C461DC"/>
    <w:rsid w:val="00C5106E"/>
    <w:rsid w:val="00C52F3E"/>
    <w:rsid w:val="00C56AC3"/>
    <w:rsid w:val="00C62A14"/>
    <w:rsid w:val="00C635B1"/>
    <w:rsid w:val="00C63614"/>
    <w:rsid w:val="00C63C68"/>
    <w:rsid w:val="00C64FF6"/>
    <w:rsid w:val="00C65DAF"/>
    <w:rsid w:val="00C70A31"/>
    <w:rsid w:val="00C7144C"/>
    <w:rsid w:val="00C72FD9"/>
    <w:rsid w:val="00C73A38"/>
    <w:rsid w:val="00C75A09"/>
    <w:rsid w:val="00C76CF8"/>
    <w:rsid w:val="00C77A7C"/>
    <w:rsid w:val="00C82C49"/>
    <w:rsid w:val="00C84C6C"/>
    <w:rsid w:val="00C86F2F"/>
    <w:rsid w:val="00C87333"/>
    <w:rsid w:val="00C925F1"/>
    <w:rsid w:val="00C93567"/>
    <w:rsid w:val="00C93625"/>
    <w:rsid w:val="00C93697"/>
    <w:rsid w:val="00CA16C3"/>
    <w:rsid w:val="00CA3855"/>
    <w:rsid w:val="00CA4FE4"/>
    <w:rsid w:val="00CA7020"/>
    <w:rsid w:val="00CB1010"/>
    <w:rsid w:val="00CB10F8"/>
    <w:rsid w:val="00CB2BDB"/>
    <w:rsid w:val="00CB6674"/>
    <w:rsid w:val="00CB68F4"/>
    <w:rsid w:val="00CB7176"/>
    <w:rsid w:val="00CB72BC"/>
    <w:rsid w:val="00CB7CB0"/>
    <w:rsid w:val="00CC151C"/>
    <w:rsid w:val="00CC2FE3"/>
    <w:rsid w:val="00CC4710"/>
    <w:rsid w:val="00CC725F"/>
    <w:rsid w:val="00CD040B"/>
    <w:rsid w:val="00CD1327"/>
    <w:rsid w:val="00CD4127"/>
    <w:rsid w:val="00CD5114"/>
    <w:rsid w:val="00CD5C21"/>
    <w:rsid w:val="00CD64C8"/>
    <w:rsid w:val="00CD7180"/>
    <w:rsid w:val="00CE1192"/>
    <w:rsid w:val="00CE1E32"/>
    <w:rsid w:val="00CE42EA"/>
    <w:rsid w:val="00CE6757"/>
    <w:rsid w:val="00CF16A2"/>
    <w:rsid w:val="00CF221E"/>
    <w:rsid w:val="00CF4375"/>
    <w:rsid w:val="00CF439D"/>
    <w:rsid w:val="00CF65E8"/>
    <w:rsid w:val="00D0074C"/>
    <w:rsid w:val="00D027CC"/>
    <w:rsid w:val="00D035D4"/>
    <w:rsid w:val="00D038A0"/>
    <w:rsid w:val="00D06463"/>
    <w:rsid w:val="00D107A4"/>
    <w:rsid w:val="00D126FF"/>
    <w:rsid w:val="00D12D19"/>
    <w:rsid w:val="00D134DA"/>
    <w:rsid w:val="00D151F2"/>
    <w:rsid w:val="00D15760"/>
    <w:rsid w:val="00D313E0"/>
    <w:rsid w:val="00D318C9"/>
    <w:rsid w:val="00D33FA1"/>
    <w:rsid w:val="00D405D9"/>
    <w:rsid w:val="00D40D79"/>
    <w:rsid w:val="00D4567D"/>
    <w:rsid w:val="00D458CA"/>
    <w:rsid w:val="00D4611C"/>
    <w:rsid w:val="00D519CD"/>
    <w:rsid w:val="00D51D02"/>
    <w:rsid w:val="00D531F2"/>
    <w:rsid w:val="00D56CB2"/>
    <w:rsid w:val="00D57729"/>
    <w:rsid w:val="00D57858"/>
    <w:rsid w:val="00D57976"/>
    <w:rsid w:val="00D579B2"/>
    <w:rsid w:val="00D60982"/>
    <w:rsid w:val="00D62FA7"/>
    <w:rsid w:val="00D63090"/>
    <w:rsid w:val="00D64DD3"/>
    <w:rsid w:val="00D67284"/>
    <w:rsid w:val="00D7034C"/>
    <w:rsid w:val="00D70EDE"/>
    <w:rsid w:val="00D73AC8"/>
    <w:rsid w:val="00D801EF"/>
    <w:rsid w:val="00D809CC"/>
    <w:rsid w:val="00D81453"/>
    <w:rsid w:val="00D82323"/>
    <w:rsid w:val="00D82CB4"/>
    <w:rsid w:val="00D83681"/>
    <w:rsid w:val="00D850B5"/>
    <w:rsid w:val="00D85C07"/>
    <w:rsid w:val="00D85D03"/>
    <w:rsid w:val="00D92261"/>
    <w:rsid w:val="00D927B3"/>
    <w:rsid w:val="00D9308A"/>
    <w:rsid w:val="00D93199"/>
    <w:rsid w:val="00D936DD"/>
    <w:rsid w:val="00DA2881"/>
    <w:rsid w:val="00DA3C85"/>
    <w:rsid w:val="00DA3E26"/>
    <w:rsid w:val="00DA441B"/>
    <w:rsid w:val="00DA5F2F"/>
    <w:rsid w:val="00DA681A"/>
    <w:rsid w:val="00DB0E82"/>
    <w:rsid w:val="00DB4444"/>
    <w:rsid w:val="00DC6CBC"/>
    <w:rsid w:val="00DC7A2D"/>
    <w:rsid w:val="00DD0D39"/>
    <w:rsid w:val="00DD175C"/>
    <w:rsid w:val="00DD23A1"/>
    <w:rsid w:val="00DD285E"/>
    <w:rsid w:val="00DD5679"/>
    <w:rsid w:val="00DE095D"/>
    <w:rsid w:val="00DE2119"/>
    <w:rsid w:val="00DE3615"/>
    <w:rsid w:val="00DF3CDB"/>
    <w:rsid w:val="00DF53CF"/>
    <w:rsid w:val="00DF6D18"/>
    <w:rsid w:val="00DF7C87"/>
    <w:rsid w:val="00E00B4C"/>
    <w:rsid w:val="00E044C6"/>
    <w:rsid w:val="00E0596E"/>
    <w:rsid w:val="00E073DC"/>
    <w:rsid w:val="00E10E47"/>
    <w:rsid w:val="00E140C3"/>
    <w:rsid w:val="00E1414F"/>
    <w:rsid w:val="00E145DE"/>
    <w:rsid w:val="00E14611"/>
    <w:rsid w:val="00E14FF3"/>
    <w:rsid w:val="00E21DBE"/>
    <w:rsid w:val="00E30AA3"/>
    <w:rsid w:val="00E31921"/>
    <w:rsid w:val="00E35E08"/>
    <w:rsid w:val="00E36145"/>
    <w:rsid w:val="00E364CE"/>
    <w:rsid w:val="00E41C15"/>
    <w:rsid w:val="00E42B00"/>
    <w:rsid w:val="00E4529C"/>
    <w:rsid w:val="00E455FB"/>
    <w:rsid w:val="00E45DEB"/>
    <w:rsid w:val="00E463CB"/>
    <w:rsid w:val="00E46A81"/>
    <w:rsid w:val="00E50F14"/>
    <w:rsid w:val="00E53C0C"/>
    <w:rsid w:val="00E56EC6"/>
    <w:rsid w:val="00E63418"/>
    <w:rsid w:val="00E63AC0"/>
    <w:rsid w:val="00E67B9C"/>
    <w:rsid w:val="00E7026F"/>
    <w:rsid w:val="00E75795"/>
    <w:rsid w:val="00E75CFF"/>
    <w:rsid w:val="00E80EAE"/>
    <w:rsid w:val="00E810FF"/>
    <w:rsid w:val="00E845DA"/>
    <w:rsid w:val="00E91014"/>
    <w:rsid w:val="00E919E7"/>
    <w:rsid w:val="00E91EB3"/>
    <w:rsid w:val="00E93713"/>
    <w:rsid w:val="00EA0D21"/>
    <w:rsid w:val="00EA3230"/>
    <w:rsid w:val="00EA403A"/>
    <w:rsid w:val="00EA7721"/>
    <w:rsid w:val="00EB07FF"/>
    <w:rsid w:val="00EB220B"/>
    <w:rsid w:val="00EB353C"/>
    <w:rsid w:val="00EB3AC3"/>
    <w:rsid w:val="00EB6B2D"/>
    <w:rsid w:val="00EB77FF"/>
    <w:rsid w:val="00EC00A3"/>
    <w:rsid w:val="00EC1ED8"/>
    <w:rsid w:val="00EC3285"/>
    <w:rsid w:val="00EC42DD"/>
    <w:rsid w:val="00EC4CA6"/>
    <w:rsid w:val="00EC5805"/>
    <w:rsid w:val="00EC59BC"/>
    <w:rsid w:val="00ED0136"/>
    <w:rsid w:val="00ED1130"/>
    <w:rsid w:val="00ED2D23"/>
    <w:rsid w:val="00ED3905"/>
    <w:rsid w:val="00ED48B7"/>
    <w:rsid w:val="00ED493E"/>
    <w:rsid w:val="00EE3762"/>
    <w:rsid w:val="00EE3DB4"/>
    <w:rsid w:val="00EE675F"/>
    <w:rsid w:val="00EE7C2A"/>
    <w:rsid w:val="00EF095D"/>
    <w:rsid w:val="00EF29D2"/>
    <w:rsid w:val="00EF32E1"/>
    <w:rsid w:val="00EF4092"/>
    <w:rsid w:val="00EF4BE3"/>
    <w:rsid w:val="00EF646C"/>
    <w:rsid w:val="00F01EB1"/>
    <w:rsid w:val="00F04111"/>
    <w:rsid w:val="00F04CFE"/>
    <w:rsid w:val="00F118C4"/>
    <w:rsid w:val="00F237E7"/>
    <w:rsid w:val="00F2426D"/>
    <w:rsid w:val="00F244AF"/>
    <w:rsid w:val="00F251CA"/>
    <w:rsid w:val="00F268F1"/>
    <w:rsid w:val="00F27B55"/>
    <w:rsid w:val="00F3185A"/>
    <w:rsid w:val="00F3310D"/>
    <w:rsid w:val="00F33D82"/>
    <w:rsid w:val="00F34B9B"/>
    <w:rsid w:val="00F427EE"/>
    <w:rsid w:val="00F46130"/>
    <w:rsid w:val="00F4729E"/>
    <w:rsid w:val="00F51432"/>
    <w:rsid w:val="00F54B85"/>
    <w:rsid w:val="00F5678C"/>
    <w:rsid w:val="00F60227"/>
    <w:rsid w:val="00F60E2F"/>
    <w:rsid w:val="00F62031"/>
    <w:rsid w:val="00F6319E"/>
    <w:rsid w:val="00F633BE"/>
    <w:rsid w:val="00F66936"/>
    <w:rsid w:val="00F67A0F"/>
    <w:rsid w:val="00F703C4"/>
    <w:rsid w:val="00F71DE0"/>
    <w:rsid w:val="00F732CC"/>
    <w:rsid w:val="00F745E1"/>
    <w:rsid w:val="00F9164A"/>
    <w:rsid w:val="00F92C1F"/>
    <w:rsid w:val="00F96001"/>
    <w:rsid w:val="00F9629D"/>
    <w:rsid w:val="00F9651B"/>
    <w:rsid w:val="00F96B09"/>
    <w:rsid w:val="00F96E65"/>
    <w:rsid w:val="00F9711A"/>
    <w:rsid w:val="00FA2323"/>
    <w:rsid w:val="00FB10C8"/>
    <w:rsid w:val="00FB1E05"/>
    <w:rsid w:val="00FB2859"/>
    <w:rsid w:val="00FB3109"/>
    <w:rsid w:val="00FB3E40"/>
    <w:rsid w:val="00FB51CD"/>
    <w:rsid w:val="00FC098C"/>
    <w:rsid w:val="00FC1327"/>
    <w:rsid w:val="00FC2D6A"/>
    <w:rsid w:val="00FC6434"/>
    <w:rsid w:val="00FC71DD"/>
    <w:rsid w:val="00FD09E2"/>
    <w:rsid w:val="00FD4FD4"/>
    <w:rsid w:val="00FD665E"/>
    <w:rsid w:val="00FD66E4"/>
    <w:rsid w:val="00FD6CC8"/>
    <w:rsid w:val="00FD6F7A"/>
    <w:rsid w:val="00FE1084"/>
    <w:rsid w:val="00FE4003"/>
    <w:rsid w:val="00FE4ADA"/>
    <w:rsid w:val="00FF0169"/>
    <w:rsid w:val="00FF290B"/>
    <w:rsid w:val="00FF3F25"/>
    <w:rsid w:val="00FF4CCC"/>
    <w:rsid w:val="00FF6AA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026F"/>
    <w:rPr>
      <w:sz w:val="24"/>
      <w:szCs w:val="24"/>
      <w:lang w:eastAsia="es-ES"/>
    </w:rPr>
  </w:style>
  <w:style w:type="paragraph" w:styleId="Ttulo1">
    <w:name w:val="heading 1"/>
    <w:basedOn w:val="Normal"/>
    <w:next w:val="Normal"/>
    <w:qFormat/>
    <w:rsid w:val="00E7026F"/>
    <w:pPr>
      <w:keepNext/>
      <w:outlineLvl w:val="0"/>
    </w:pPr>
    <w:rPr>
      <w:b/>
      <w:bCs/>
    </w:rPr>
  </w:style>
  <w:style w:type="paragraph" w:styleId="Ttulo2">
    <w:name w:val="heading 2"/>
    <w:basedOn w:val="Normal"/>
    <w:next w:val="Normal"/>
    <w:qFormat/>
    <w:rsid w:val="00E7026F"/>
    <w:pPr>
      <w:keepNext/>
      <w:ind w:left="360"/>
      <w:outlineLvl w:val="1"/>
    </w:pPr>
    <w:rPr>
      <w:b/>
      <w:bCs/>
    </w:rPr>
  </w:style>
  <w:style w:type="paragraph" w:styleId="Ttulo4">
    <w:name w:val="heading 4"/>
    <w:basedOn w:val="Normal"/>
    <w:next w:val="Normal"/>
    <w:link w:val="Ttulo4Car"/>
    <w:semiHidden/>
    <w:unhideWhenUsed/>
    <w:qFormat/>
    <w:rsid w:val="00F3185A"/>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qFormat/>
    <w:rsid w:val="00E7026F"/>
    <w:pPr>
      <w:keepNext/>
      <w:pBdr>
        <w:top w:val="single" w:sz="4" w:space="1" w:color="auto"/>
        <w:left w:val="single" w:sz="4" w:space="4" w:color="auto"/>
        <w:bottom w:val="single" w:sz="4" w:space="1" w:color="auto"/>
        <w:right w:val="single" w:sz="4" w:space="4" w:color="auto"/>
      </w:pBdr>
      <w:jc w:val="center"/>
      <w:outlineLvl w:val="4"/>
    </w:pPr>
    <w:rPr>
      <w:rFonts w:ascii="Arial" w:hAnsi="Arial"/>
      <w:b/>
      <w:sz w:val="18"/>
    </w:rPr>
  </w:style>
  <w:style w:type="paragraph" w:styleId="Ttulo6">
    <w:name w:val="heading 6"/>
    <w:basedOn w:val="Normal"/>
    <w:next w:val="Normal"/>
    <w:qFormat/>
    <w:rsid w:val="00E7026F"/>
    <w:pPr>
      <w:keepNext/>
      <w:pBdr>
        <w:top w:val="single" w:sz="4" w:space="1" w:color="auto"/>
        <w:left w:val="single" w:sz="4" w:space="4" w:color="auto"/>
        <w:bottom w:val="single" w:sz="4" w:space="1" w:color="auto"/>
        <w:right w:val="single" w:sz="4" w:space="4" w:color="auto"/>
      </w:pBdr>
      <w:jc w:val="center"/>
      <w:outlineLvl w:val="5"/>
    </w:pPr>
    <w:rPr>
      <w:rFonts w:ascii="Arial" w:hAnsi="Arial"/>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rsid w:val="00E7026F"/>
    <w:pPr>
      <w:ind w:left="180"/>
    </w:pPr>
  </w:style>
  <w:style w:type="paragraph" w:styleId="Sangra2detindependiente">
    <w:name w:val="Body Text Indent 2"/>
    <w:basedOn w:val="Normal"/>
    <w:rsid w:val="00E7026F"/>
    <w:pPr>
      <w:ind w:left="360"/>
    </w:pPr>
  </w:style>
  <w:style w:type="paragraph" w:styleId="Piedepgina">
    <w:name w:val="footer"/>
    <w:basedOn w:val="Normal"/>
    <w:rsid w:val="00E7026F"/>
    <w:pPr>
      <w:tabs>
        <w:tab w:val="center" w:pos="4419"/>
        <w:tab w:val="right" w:pos="8838"/>
      </w:tabs>
    </w:pPr>
  </w:style>
  <w:style w:type="character" w:styleId="Nmerodepgina">
    <w:name w:val="page number"/>
    <w:basedOn w:val="Fuentedeprrafopredeter"/>
    <w:rsid w:val="00E7026F"/>
  </w:style>
  <w:style w:type="paragraph" w:styleId="Encabezado">
    <w:name w:val="header"/>
    <w:basedOn w:val="Normal"/>
    <w:link w:val="EncabezadoCar"/>
    <w:uiPriority w:val="99"/>
    <w:rsid w:val="00E7026F"/>
    <w:pPr>
      <w:tabs>
        <w:tab w:val="center" w:pos="4419"/>
        <w:tab w:val="right" w:pos="8838"/>
      </w:tabs>
    </w:pPr>
  </w:style>
  <w:style w:type="paragraph" w:styleId="Textoindependiente">
    <w:name w:val="Body Text"/>
    <w:basedOn w:val="Normal"/>
    <w:rsid w:val="00E7026F"/>
    <w:pPr>
      <w:jc w:val="both"/>
    </w:pPr>
    <w:rPr>
      <w:rFonts w:ascii="Arial" w:hAnsi="Arial" w:cs="Arial"/>
      <w:bCs/>
      <w:color w:val="CCFFCC"/>
      <w:sz w:val="22"/>
      <w:szCs w:val="22"/>
    </w:rPr>
  </w:style>
  <w:style w:type="paragraph" w:styleId="Textoindependiente2">
    <w:name w:val="Body Text 2"/>
    <w:basedOn w:val="Normal"/>
    <w:rsid w:val="00E7026F"/>
    <w:pPr>
      <w:jc w:val="both"/>
    </w:pPr>
    <w:rPr>
      <w:rFonts w:ascii="Arial" w:hAnsi="Arial" w:cs="Arial"/>
      <w:sz w:val="22"/>
      <w:szCs w:val="22"/>
    </w:rPr>
  </w:style>
  <w:style w:type="paragraph" w:styleId="Sangra3detindependiente">
    <w:name w:val="Body Text Indent 3"/>
    <w:basedOn w:val="Normal"/>
    <w:rsid w:val="00E7026F"/>
    <w:pPr>
      <w:ind w:firstLine="360"/>
      <w:jc w:val="both"/>
    </w:pPr>
    <w:rPr>
      <w:rFonts w:ascii="Arial" w:hAnsi="Arial"/>
      <w:sz w:val="22"/>
    </w:rPr>
  </w:style>
  <w:style w:type="paragraph" w:styleId="Textoindependiente3">
    <w:name w:val="Body Text 3"/>
    <w:basedOn w:val="Normal"/>
    <w:rsid w:val="00E7026F"/>
    <w:pPr>
      <w:jc w:val="both"/>
    </w:pPr>
    <w:rPr>
      <w:rFonts w:ascii="Arial" w:hAnsi="Arial"/>
      <w:sz w:val="18"/>
    </w:rPr>
  </w:style>
  <w:style w:type="character" w:customStyle="1" w:styleId="Ttulo4Car">
    <w:name w:val="Título 4 Car"/>
    <w:basedOn w:val="Fuentedeprrafopredeter"/>
    <w:link w:val="Ttulo4"/>
    <w:semiHidden/>
    <w:rsid w:val="00F3185A"/>
    <w:rPr>
      <w:rFonts w:asciiTheme="majorHAnsi" w:eastAsiaTheme="majorEastAsia" w:hAnsiTheme="majorHAnsi" w:cstheme="majorBidi"/>
      <w:b/>
      <w:bCs/>
      <w:i/>
      <w:iCs/>
      <w:color w:val="4F81BD" w:themeColor="accent1"/>
      <w:sz w:val="24"/>
      <w:szCs w:val="24"/>
      <w:lang w:eastAsia="es-ES"/>
    </w:rPr>
  </w:style>
  <w:style w:type="table" w:styleId="Tablaconcuadrcula">
    <w:name w:val="Table Grid"/>
    <w:basedOn w:val="Tablanormal"/>
    <w:rsid w:val="002D681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EncabezadoCar">
    <w:name w:val="Encabezado Car"/>
    <w:basedOn w:val="Fuentedeprrafopredeter"/>
    <w:link w:val="Encabezado"/>
    <w:uiPriority w:val="99"/>
    <w:rsid w:val="00D60982"/>
    <w:rPr>
      <w:sz w:val="24"/>
      <w:szCs w:val="24"/>
      <w:lang w:eastAsia="es-ES"/>
    </w:rPr>
  </w:style>
  <w:style w:type="paragraph" w:styleId="Textodeglobo">
    <w:name w:val="Balloon Text"/>
    <w:basedOn w:val="Normal"/>
    <w:link w:val="TextodegloboCar"/>
    <w:rsid w:val="00D60982"/>
    <w:rPr>
      <w:rFonts w:ascii="Tahoma" w:hAnsi="Tahoma" w:cs="Tahoma"/>
      <w:sz w:val="16"/>
      <w:szCs w:val="16"/>
    </w:rPr>
  </w:style>
  <w:style w:type="character" w:customStyle="1" w:styleId="TextodegloboCar">
    <w:name w:val="Texto de globo Car"/>
    <w:basedOn w:val="Fuentedeprrafopredeter"/>
    <w:link w:val="Textodeglobo"/>
    <w:rsid w:val="00D60982"/>
    <w:rPr>
      <w:rFonts w:ascii="Tahoma" w:hAnsi="Tahoma" w:cs="Tahoma"/>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026F"/>
    <w:rPr>
      <w:sz w:val="24"/>
      <w:szCs w:val="24"/>
      <w:lang w:eastAsia="es-ES"/>
    </w:rPr>
  </w:style>
  <w:style w:type="paragraph" w:styleId="Ttulo1">
    <w:name w:val="heading 1"/>
    <w:basedOn w:val="Normal"/>
    <w:next w:val="Normal"/>
    <w:qFormat/>
    <w:rsid w:val="00E7026F"/>
    <w:pPr>
      <w:keepNext/>
      <w:outlineLvl w:val="0"/>
    </w:pPr>
    <w:rPr>
      <w:b/>
      <w:bCs/>
    </w:rPr>
  </w:style>
  <w:style w:type="paragraph" w:styleId="Ttulo2">
    <w:name w:val="heading 2"/>
    <w:basedOn w:val="Normal"/>
    <w:next w:val="Normal"/>
    <w:qFormat/>
    <w:rsid w:val="00E7026F"/>
    <w:pPr>
      <w:keepNext/>
      <w:ind w:left="360"/>
      <w:outlineLvl w:val="1"/>
    </w:pPr>
    <w:rPr>
      <w:b/>
      <w:bCs/>
    </w:rPr>
  </w:style>
  <w:style w:type="paragraph" w:styleId="Ttulo4">
    <w:name w:val="heading 4"/>
    <w:basedOn w:val="Normal"/>
    <w:next w:val="Normal"/>
    <w:link w:val="Ttulo4Car"/>
    <w:semiHidden/>
    <w:unhideWhenUsed/>
    <w:qFormat/>
    <w:rsid w:val="00F3185A"/>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qFormat/>
    <w:rsid w:val="00E7026F"/>
    <w:pPr>
      <w:keepNext/>
      <w:pBdr>
        <w:top w:val="single" w:sz="4" w:space="1" w:color="auto"/>
        <w:left w:val="single" w:sz="4" w:space="4" w:color="auto"/>
        <w:bottom w:val="single" w:sz="4" w:space="1" w:color="auto"/>
        <w:right w:val="single" w:sz="4" w:space="4" w:color="auto"/>
      </w:pBdr>
      <w:jc w:val="center"/>
      <w:outlineLvl w:val="4"/>
    </w:pPr>
    <w:rPr>
      <w:rFonts w:ascii="Arial" w:hAnsi="Arial"/>
      <w:b/>
      <w:sz w:val="18"/>
    </w:rPr>
  </w:style>
  <w:style w:type="paragraph" w:styleId="Ttulo6">
    <w:name w:val="heading 6"/>
    <w:basedOn w:val="Normal"/>
    <w:next w:val="Normal"/>
    <w:qFormat/>
    <w:rsid w:val="00E7026F"/>
    <w:pPr>
      <w:keepNext/>
      <w:pBdr>
        <w:top w:val="single" w:sz="4" w:space="1" w:color="auto"/>
        <w:left w:val="single" w:sz="4" w:space="4" w:color="auto"/>
        <w:bottom w:val="single" w:sz="4" w:space="1" w:color="auto"/>
        <w:right w:val="single" w:sz="4" w:space="4" w:color="auto"/>
      </w:pBdr>
      <w:jc w:val="center"/>
      <w:outlineLvl w:val="5"/>
    </w:pPr>
    <w:rPr>
      <w:rFonts w:ascii="Arial" w:hAnsi="Arial"/>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rsid w:val="00E7026F"/>
    <w:pPr>
      <w:ind w:left="180"/>
    </w:pPr>
  </w:style>
  <w:style w:type="paragraph" w:styleId="Sangra2detindependiente">
    <w:name w:val="Body Text Indent 2"/>
    <w:basedOn w:val="Normal"/>
    <w:rsid w:val="00E7026F"/>
    <w:pPr>
      <w:ind w:left="360"/>
    </w:pPr>
  </w:style>
  <w:style w:type="paragraph" w:styleId="Piedepgina">
    <w:name w:val="footer"/>
    <w:basedOn w:val="Normal"/>
    <w:rsid w:val="00E7026F"/>
    <w:pPr>
      <w:tabs>
        <w:tab w:val="center" w:pos="4419"/>
        <w:tab w:val="right" w:pos="8838"/>
      </w:tabs>
    </w:pPr>
  </w:style>
  <w:style w:type="character" w:styleId="Nmerodepgina">
    <w:name w:val="page number"/>
    <w:basedOn w:val="Fuentedeprrafopredeter"/>
    <w:rsid w:val="00E7026F"/>
  </w:style>
  <w:style w:type="paragraph" w:styleId="Encabezado">
    <w:name w:val="header"/>
    <w:basedOn w:val="Normal"/>
    <w:link w:val="EncabezadoCar"/>
    <w:uiPriority w:val="99"/>
    <w:rsid w:val="00E7026F"/>
    <w:pPr>
      <w:tabs>
        <w:tab w:val="center" w:pos="4419"/>
        <w:tab w:val="right" w:pos="8838"/>
      </w:tabs>
    </w:pPr>
  </w:style>
  <w:style w:type="paragraph" w:styleId="Textoindependiente">
    <w:name w:val="Body Text"/>
    <w:basedOn w:val="Normal"/>
    <w:rsid w:val="00E7026F"/>
    <w:pPr>
      <w:jc w:val="both"/>
    </w:pPr>
    <w:rPr>
      <w:rFonts w:ascii="Arial" w:hAnsi="Arial" w:cs="Arial"/>
      <w:bCs/>
      <w:color w:val="CCFFCC"/>
      <w:sz w:val="22"/>
      <w:szCs w:val="22"/>
    </w:rPr>
  </w:style>
  <w:style w:type="paragraph" w:styleId="Textoindependiente2">
    <w:name w:val="Body Text 2"/>
    <w:basedOn w:val="Normal"/>
    <w:rsid w:val="00E7026F"/>
    <w:pPr>
      <w:jc w:val="both"/>
    </w:pPr>
    <w:rPr>
      <w:rFonts w:ascii="Arial" w:hAnsi="Arial" w:cs="Arial"/>
      <w:sz w:val="22"/>
      <w:szCs w:val="22"/>
    </w:rPr>
  </w:style>
  <w:style w:type="paragraph" w:styleId="Sangra3detindependiente">
    <w:name w:val="Body Text Indent 3"/>
    <w:basedOn w:val="Normal"/>
    <w:rsid w:val="00E7026F"/>
    <w:pPr>
      <w:ind w:firstLine="360"/>
      <w:jc w:val="both"/>
    </w:pPr>
    <w:rPr>
      <w:rFonts w:ascii="Arial" w:hAnsi="Arial"/>
      <w:sz w:val="22"/>
    </w:rPr>
  </w:style>
  <w:style w:type="paragraph" w:styleId="Textoindependiente3">
    <w:name w:val="Body Text 3"/>
    <w:basedOn w:val="Normal"/>
    <w:rsid w:val="00E7026F"/>
    <w:pPr>
      <w:jc w:val="both"/>
    </w:pPr>
    <w:rPr>
      <w:rFonts w:ascii="Arial" w:hAnsi="Arial"/>
      <w:sz w:val="18"/>
    </w:rPr>
  </w:style>
  <w:style w:type="character" w:customStyle="1" w:styleId="Ttulo4Car">
    <w:name w:val="Título 4 Car"/>
    <w:basedOn w:val="Fuentedeprrafopredeter"/>
    <w:link w:val="Ttulo4"/>
    <w:semiHidden/>
    <w:rsid w:val="00F3185A"/>
    <w:rPr>
      <w:rFonts w:asciiTheme="majorHAnsi" w:eastAsiaTheme="majorEastAsia" w:hAnsiTheme="majorHAnsi" w:cstheme="majorBidi"/>
      <w:b/>
      <w:bCs/>
      <w:i/>
      <w:iCs/>
      <w:color w:val="4F81BD" w:themeColor="accent1"/>
      <w:sz w:val="24"/>
      <w:szCs w:val="24"/>
      <w:lang w:eastAsia="es-ES"/>
    </w:rPr>
  </w:style>
  <w:style w:type="table" w:styleId="Tablaconcuadrcula">
    <w:name w:val="Table Grid"/>
    <w:basedOn w:val="Tablanormal"/>
    <w:rsid w:val="002D681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EncabezadoCar">
    <w:name w:val="Encabezado Car"/>
    <w:basedOn w:val="Fuentedeprrafopredeter"/>
    <w:link w:val="Encabezado"/>
    <w:uiPriority w:val="99"/>
    <w:rsid w:val="00D60982"/>
    <w:rPr>
      <w:sz w:val="24"/>
      <w:szCs w:val="24"/>
      <w:lang w:eastAsia="es-ES"/>
    </w:rPr>
  </w:style>
  <w:style w:type="paragraph" w:styleId="Textodeglobo">
    <w:name w:val="Balloon Text"/>
    <w:basedOn w:val="Normal"/>
    <w:link w:val="TextodegloboCar"/>
    <w:rsid w:val="00D60982"/>
    <w:rPr>
      <w:rFonts w:ascii="Tahoma" w:hAnsi="Tahoma" w:cs="Tahoma"/>
      <w:sz w:val="16"/>
      <w:szCs w:val="16"/>
    </w:rPr>
  </w:style>
  <w:style w:type="character" w:customStyle="1" w:styleId="TextodegloboCar">
    <w:name w:val="Texto de globo Car"/>
    <w:basedOn w:val="Fuentedeprrafopredeter"/>
    <w:link w:val="Textodeglobo"/>
    <w:rsid w:val="00D60982"/>
    <w:rPr>
      <w:rFonts w:ascii="Tahoma"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48633">
      <w:bodyDiv w:val="1"/>
      <w:marLeft w:val="0"/>
      <w:marRight w:val="0"/>
      <w:marTop w:val="0"/>
      <w:marBottom w:val="0"/>
      <w:divBdr>
        <w:top w:val="none" w:sz="0" w:space="0" w:color="auto"/>
        <w:left w:val="none" w:sz="0" w:space="0" w:color="auto"/>
        <w:bottom w:val="none" w:sz="0" w:space="0" w:color="auto"/>
        <w:right w:val="none" w:sz="0" w:space="0" w:color="auto"/>
      </w:divBdr>
    </w:div>
    <w:div w:id="59794556">
      <w:bodyDiv w:val="1"/>
      <w:marLeft w:val="0"/>
      <w:marRight w:val="0"/>
      <w:marTop w:val="0"/>
      <w:marBottom w:val="0"/>
      <w:divBdr>
        <w:top w:val="none" w:sz="0" w:space="0" w:color="auto"/>
        <w:left w:val="none" w:sz="0" w:space="0" w:color="auto"/>
        <w:bottom w:val="none" w:sz="0" w:space="0" w:color="auto"/>
        <w:right w:val="none" w:sz="0" w:space="0" w:color="auto"/>
      </w:divBdr>
    </w:div>
    <w:div w:id="73283348">
      <w:bodyDiv w:val="1"/>
      <w:marLeft w:val="0"/>
      <w:marRight w:val="0"/>
      <w:marTop w:val="0"/>
      <w:marBottom w:val="0"/>
      <w:divBdr>
        <w:top w:val="none" w:sz="0" w:space="0" w:color="auto"/>
        <w:left w:val="none" w:sz="0" w:space="0" w:color="auto"/>
        <w:bottom w:val="none" w:sz="0" w:space="0" w:color="auto"/>
        <w:right w:val="none" w:sz="0" w:space="0" w:color="auto"/>
      </w:divBdr>
    </w:div>
    <w:div w:id="211966842">
      <w:bodyDiv w:val="1"/>
      <w:marLeft w:val="0"/>
      <w:marRight w:val="0"/>
      <w:marTop w:val="0"/>
      <w:marBottom w:val="0"/>
      <w:divBdr>
        <w:top w:val="none" w:sz="0" w:space="0" w:color="auto"/>
        <w:left w:val="none" w:sz="0" w:space="0" w:color="auto"/>
        <w:bottom w:val="none" w:sz="0" w:space="0" w:color="auto"/>
        <w:right w:val="none" w:sz="0" w:space="0" w:color="auto"/>
      </w:divBdr>
    </w:div>
    <w:div w:id="254559047">
      <w:bodyDiv w:val="1"/>
      <w:marLeft w:val="0"/>
      <w:marRight w:val="0"/>
      <w:marTop w:val="0"/>
      <w:marBottom w:val="0"/>
      <w:divBdr>
        <w:top w:val="none" w:sz="0" w:space="0" w:color="auto"/>
        <w:left w:val="none" w:sz="0" w:space="0" w:color="auto"/>
        <w:bottom w:val="none" w:sz="0" w:space="0" w:color="auto"/>
        <w:right w:val="none" w:sz="0" w:space="0" w:color="auto"/>
      </w:divBdr>
    </w:div>
    <w:div w:id="270743004">
      <w:bodyDiv w:val="1"/>
      <w:marLeft w:val="0"/>
      <w:marRight w:val="0"/>
      <w:marTop w:val="0"/>
      <w:marBottom w:val="0"/>
      <w:divBdr>
        <w:top w:val="none" w:sz="0" w:space="0" w:color="auto"/>
        <w:left w:val="none" w:sz="0" w:space="0" w:color="auto"/>
        <w:bottom w:val="none" w:sz="0" w:space="0" w:color="auto"/>
        <w:right w:val="none" w:sz="0" w:space="0" w:color="auto"/>
      </w:divBdr>
    </w:div>
    <w:div w:id="278992290">
      <w:bodyDiv w:val="1"/>
      <w:marLeft w:val="0"/>
      <w:marRight w:val="0"/>
      <w:marTop w:val="0"/>
      <w:marBottom w:val="0"/>
      <w:divBdr>
        <w:top w:val="none" w:sz="0" w:space="0" w:color="auto"/>
        <w:left w:val="none" w:sz="0" w:space="0" w:color="auto"/>
        <w:bottom w:val="none" w:sz="0" w:space="0" w:color="auto"/>
        <w:right w:val="none" w:sz="0" w:space="0" w:color="auto"/>
      </w:divBdr>
    </w:div>
    <w:div w:id="285544077">
      <w:bodyDiv w:val="1"/>
      <w:marLeft w:val="0"/>
      <w:marRight w:val="0"/>
      <w:marTop w:val="0"/>
      <w:marBottom w:val="0"/>
      <w:divBdr>
        <w:top w:val="none" w:sz="0" w:space="0" w:color="auto"/>
        <w:left w:val="none" w:sz="0" w:space="0" w:color="auto"/>
        <w:bottom w:val="none" w:sz="0" w:space="0" w:color="auto"/>
        <w:right w:val="none" w:sz="0" w:space="0" w:color="auto"/>
      </w:divBdr>
    </w:div>
    <w:div w:id="292565650">
      <w:bodyDiv w:val="1"/>
      <w:marLeft w:val="0"/>
      <w:marRight w:val="0"/>
      <w:marTop w:val="0"/>
      <w:marBottom w:val="0"/>
      <w:divBdr>
        <w:top w:val="none" w:sz="0" w:space="0" w:color="auto"/>
        <w:left w:val="none" w:sz="0" w:space="0" w:color="auto"/>
        <w:bottom w:val="none" w:sz="0" w:space="0" w:color="auto"/>
        <w:right w:val="none" w:sz="0" w:space="0" w:color="auto"/>
      </w:divBdr>
    </w:div>
    <w:div w:id="334304943">
      <w:bodyDiv w:val="1"/>
      <w:marLeft w:val="0"/>
      <w:marRight w:val="0"/>
      <w:marTop w:val="0"/>
      <w:marBottom w:val="0"/>
      <w:divBdr>
        <w:top w:val="none" w:sz="0" w:space="0" w:color="auto"/>
        <w:left w:val="none" w:sz="0" w:space="0" w:color="auto"/>
        <w:bottom w:val="none" w:sz="0" w:space="0" w:color="auto"/>
        <w:right w:val="none" w:sz="0" w:space="0" w:color="auto"/>
      </w:divBdr>
    </w:div>
    <w:div w:id="355891184">
      <w:bodyDiv w:val="1"/>
      <w:marLeft w:val="0"/>
      <w:marRight w:val="0"/>
      <w:marTop w:val="0"/>
      <w:marBottom w:val="0"/>
      <w:divBdr>
        <w:top w:val="none" w:sz="0" w:space="0" w:color="auto"/>
        <w:left w:val="none" w:sz="0" w:space="0" w:color="auto"/>
        <w:bottom w:val="none" w:sz="0" w:space="0" w:color="auto"/>
        <w:right w:val="none" w:sz="0" w:space="0" w:color="auto"/>
      </w:divBdr>
    </w:div>
    <w:div w:id="361632095">
      <w:bodyDiv w:val="1"/>
      <w:marLeft w:val="0"/>
      <w:marRight w:val="0"/>
      <w:marTop w:val="0"/>
      <w:marBottom w:val="0"/>
      <w:divBdr>
        <w:top w:val="none" w:sz="0" w:space="0" w:color="auto"/>
        <w:left w:val="none" w:sz="0" w:space="0" w:color="auto"/>
        <w:bottom w:val="none" w:sz="0" w:space="0" w:color="auto"/>
        <w:right w:val="none" w:sz="0" w:space="0" w:color="auto"/>
      </w:divBdr>
    </w:div>
    <w:div w:id="365720710">
      <w:bodyDiv w:val="1"/>
      <w:marLeft w:val="0"/>
      <w:marRight w:val="0"/>
      <w:marTop w:val="0"/>
      <w:marBottom w:val="0"/>
      <w:divBdr>
        <w:top w:val="none" w:sz="0" w:space="0" w:color="auto"/>
        <w:left w:val="none" w:sz="0" w:space="0" w:color="auto"/>
        <w:bottom w:val="none" w:sz="0" w:space="0" w:color="auto"/>
        <w:right w:val="none" w:sz="0" w:space="0" w:color="auto"/>
      </w:divBdr>
    </w:div>
    <w:div w:id="386757239">
      <w:bodyDiv w:val="1"/>
      <w:marLeft w:val="0"/>
      <w:marRight w:val="0"/>
      <w:marTop w:val="0"/>
      <w:marBottom w:val="0"/>
      <w:divBdr>
        <w:top w:val="none" w:sz="0" w:space="0" w:color="auto"/>
        <w:left w:val="none" w:sz="0" w:space="0" w:color="auto"/>
        <w:bottom w:val="none" w:sz="0" w:space="0" w:color="auto"/>
        <w:right w:val="none" w:sz="0" w:space="0" w:color="auto"/>
      </w:divBdr>
    </w:div>
    <w:div w:id="470441896">
      <w:bodyDiv w:val="1"/>
      <w:marLeft w:val="0"/>
      <w:marRight w:val="0"/>
      <w:marTop w:val="0"/>
      <w:marBottom w:val="0"/>
      <w:divBdr>
        <w:top w:val="none" w:sz="0" w:space="0" w:color="auto"/>
        <w:left w:val="none" w:sz="0" w:space="0" w:color="auto"/>
        <w:bottom w:val="none" w:sz="0" w:space="0" w:color="auto"/>
        <w:right w:val="none" w:sz="0" w:space="0" w:color="auto"/>
      </w:divBdr>
    </w:div>
    <w:div w:id="523128536">
      <w:bodyDiv w:val="1"/>
      <w:marLeft w:val="0"/>
      <w:marRight w:val="0"/>
      <w:marTop w:val="0"/>
      <w:marBottom w:val="0"/>
      <w:divBdr>
        <w:top w:val="none" w:sz="0" w:space="0" w:color="auto"/>
        <w:left w:val="none" w:sz="0" w:space="0" w:color="auto"/>
        <w:bottom w:val="none" w:sz="0" w:space="0" w:color="auto"/>
        <w:right w:val="none" w:sz="0" w:space="0" w:color="auto"/>
      </w:divBdr>
    </w:div>
    <w:div w:id="531773551">
      <w:bodyDiv w:val="1"/>
      <w:marLeft w:val="0"/>
      <w:marRight w:val="0"/>
      <w:marTop w:val="0"/>
      <w:marBottom w:val="0"/>
      <w:divBdr>
        <w:top w:val="none" w:sz="0" w:space="0" w:color="auto"/>
        <w:left w:val="none" w:sz="0" w:space="0" w:color="auto"/>
        <w:bottom w:val="none" w:sz="0" w:space="0" w:color="auto"/>
        <w:right w:val="none" w:sz="0" w:space="0" w:color="auto"/>
      </w:divBdr>
    </w:div>
    <w:div w:id="555051302">
      <w:bodyDiv w:val="1"/>
      <w:marLeft w:val="0"/>
      <w:marRight w:val="0"/>
      <w:marTop w:val="0"/>
      <w:marBottom w:val="0"/>
      <w:divBdr>
        <w:top w:val="none" w:sz="0" w:space="0" w:color="auto"/>
        <w:left w:val="none" w:sz="0" w:space="0" w:color="auto"/>
        <w:bottom w:val="none" w:sz="0" w:space="0" w:color="auto"/>
        <w:right w:val="none" w:sz="0" w:space="0" w:color="auto"/>
      </w:divBdr>
    </w:div>
    <w:div w:id="632685284">
      <w:bodyDiv w:val="1"/>
      <w:marLeft w:val="0"/>
      <w:marRight w:val="0"/>
      <w:marTop w:val="0"/>
      <w:marBottom w:val="0"/>
      <w:divBdr>
        <w:top w:val="none" w:sz="0" w:space="0" w:color="auto"/>
        <w:left w:val="none" w:sz="0" w:space="0" w:color="auto"/>
        <w:bottom w:val="none" w:sz="0" w:space="0" w:color="auto"/>
        <w:right w:val="none" w:sz="0" w:space="0" w:color="auto"/>
      </w:divBdr>
    </w:div>
    <w:div w:id="647906451">
      <w:bodyDiv w:val="1"/>
      <w:marLeft w:val="0"/>
      <w:marRight w:val="0"/>
      <w:marTop w:val="0"/>
      <w:marBottom w:val="0"/>
      <w:divBdr>
        <w:top w:val="none" w:sz="0" w:space="0" w:color="auto"/>
        <w:left w:val="none" w:sz="0" w:space="0" w:color="auto"/>
        <w:bottom w:val="none" w:sz="0" w:space="0" w:color="auto"/>
        <w:right w:val="none" w:sz="0" w:space="0" w:color="auto"/>
      </w:divBdr>
    </w:div>
    <w:div w:id="807936528">
      <w:bodyDiv w:val="1"/>
      <w:marLeft w:val="0"/>
      <w:marRight w:val="0"/>
      <w:marTop w:val="0"/>
      <w:marBottom w:val="0"/>
      <w:divBdr>
        <w:top w:val="none" w:sz="0" w:space="0" w:color="auto"/>
        <w:left w:val="none" w:sz="0" w:space="0" w:color="auto"/>
        <w:bottom w:val="none" w:sz="0" w:space="0" w:color="auto"/>
        <w:right w:val="none" w:sz="0" w:space="0" w:color="auto"/>
      </w:divBdr>
    </w:div>
    <w:div w:id="809372081">
      <w:bodyDiv w:val="1"/>
      <w:marLeft w:val="0"/>
      <w:marRight w:val="0"/>
      <w:marTop w:val="0"/>
      <w:marBottom w:val="0"/>
      <w:divBdr>
        <w:top w:val="none" w:sz="0" w:space="0" w:color="auto"/>
        <w:left w:val="none" w:sz="0" w:space="0" w:color="auto"/>
        <w:bottom w:val="none" w:sz="0" w:space="0" w:color="auto"/>
        <w:right w:val="none" w:sz="0" w:space="0" w:color="auto"/>
      </w:divBdr>
    </w:div>
    <w:div w:id="877477293">
      <w:bodyDiv w:val="1"/>
      <w:marLeft w:val="0"/>
      <w:marRight w:val="0"/>
      <w:marTop w:val="0"/>
      <w:marBottom w:val="0"/>
      <w:divBdr>
        <w:top w:val="none" w:sz="0" w:space="0" w:color="auto"/>
        <w:left w:val="none" w:sz="0" w:space="0" w:color="auto"/>
        <w:bottom w:val="none" w:sz="0" w:space="0" w:color="auto"/>
        <w:right w:val="none" w:sz="0" w:space="0" w:color="auto"/>
      </w:divBdr>
    </w:div>
    <w:div w:id="886382189">
      <w:bodyDiv w:val="1"/>
      <w:marLeft w:val="0"/>
      <w:marRight w:val="0"/>
      <w:marTop w:val="0"/>
      <w:marBottom w:val="0"/>
      <w:divBdr>
        <w:top w:val="none" w:sz="0" w:space="0" w:color="auto"/>
        <w:left w:val="none" w:sz="0" w:space="0" w:color="auto"/>
        <w:bottom w:val="none" w:sz="0" w:space="0" w:color="auto"/>
        <w:right w:val="none" w:sz="0" w:space="0" w:color="auto"/>
      </w:divBdr>
    </w:div>
    <w:div w:id="903830502">
      <w:bodyDiv w:val="1"/>
      <w:marLeft w:val="0"/>
      <w:marRight w:val="0"/>
      <w:marTop w:val="0"/>
      <w:marBottom w:val="0"/>
      <w:divBdr>
        <w:top w:val="none" w:sz="0" w:space="0" w:color="auto"/>
        <w:left w:val="none" w:sz="0" w:space="0" w:color="auto"/>
        <w:bottom w:val="none" w:sz="0" w:space="0" w:color="auto"/>
        <w:right w:val="none" w:sz="0" w:space="0" w:color="auto"/>
      </w:divBdr>
    </w:div>
    <w:div w:id="948587101">
      <w:bodyDiv w:val="1"/>
      <w:marLeft w:val="0"/>
      <w:marRight w:val="0"/>
      <w:marTop w:val="0"/>
      <w:marBottom w:val="0"/>
      <w:divBdr>
        <w:top w:val="none" w:sz="0" w:space="0" w:color="auto"/>
        <w:left w:val="none" w:sz="0" w:space="0" w:color="auto"/>
        <w:bottom w:val="none" w:sz="0" w:space="0" w:color="auto"/>
        <w:right w:val="none" w:sz="0" w:space="0" w:color="auto"/>
      </w:divBdr>
    </w:div>
    <w:div w:id="989021755">
      <w:bodyDiv w:val="1"/>
      <w:marLeft w:val="0"/>
      <w:marRight w:val="0"/>
      <w:marTop w:val="0"/>
      <w:marBottom w:val="0"/>
      <w:divBdr>
        <w:top w:val="none" w:sz="0" w:space="0" w:color="auto"/>
        <w:left w:val="none" w:sz="0" w:space="0" w:color="auto"/>
        <w:bottom w:val="none" w:sz="0" w:space="0" w:color="auto"/>
        <w:right w:val="none" w:sz="0" w:space="0" w:color="auto"/>
      </w:divBdr>
    </w:div>
    <w:div w:id="990254311">
      <w:bodyDiv w:val="1"/>
      <w:marLeft w:val="0"/>
      <w:marRight w:val="0"/>
      <w:marTop w:val="0"/>
      <w:marBottom w:val="0"/>
      <w:divBdr>
        <w:top w:val="none" w:sz="0" w:space="0" w:color="auto"/>
        <w:left w:val="none" w:sz="0" w:space="0" w:color="auto"/>
        <w:bottom w:val="none" w:sz="0" w:space="0" w:color="auto"/>
        <w:right w:val="none" w:sz="0" w:space="0" w:color="auto"/>
      </w:divBdr>
    </w:div>
    <w:div w:id="1017082168">
      <w:bodyDiv w:val="1"/>
      <w:marLeft w:val="0"/>
      <w:marRight w:val="0"/>
      <w:marTop w:val="0"/>
      <w:marBottom w:val="0"/>
      <w:divBdr>
        <w:top w:val="none" w:sz="0" w:space="0" w:color="auto"/>
        <w:left w:val="none" w:sz="0" w:space="0" w:color="auto"/>
        <w:bottom w:val="none" w:sz="0" w:space="0" w:color="auto"/>
        <w:right w:val="none" w:sz="0" w:space="0" w:color="auto"/>
      </w:divBdr>
    </w:div>
    <w:div w:id="1020156482">
      <w:bodyDiv w:val="1"/>
      <w:marLeft w:val="0"/>
      <w:marRight w:val="0"/>
      <w:marTop w:val="0"/>
      <w:marBottom w:val="0"/>
      <w:divBdr>
        <w:top w:val="none" w:sz="0" w:space="0" w:color="auto"/>
        <w:left w:val="none" w:sz="0" w:space="0" w:color="auto"/>
        <w:bottom w:val="none" w:sz="0" w:space="0" w:color="auto"/>
        <w:right w:val="none" w:sz="0" w:space="0" w:color="auto"/>
      </w:divBdr>
    </w:div>
    <w:div w:id="1055929485">
      <w:bodyDiv w:val="1"/>
      <w:marLeft w:val="0"/>
      <w:marRight w:val="0"/>
      <w:marTop w:val="0"/>
      <w:marBottom w:val="0"/>
      <w:divBdr>
        <w:top w:val="none" w:sz="0" w:space="0" w:color="auto"/>
        <w:left w:val="none" w:sz="0" w:space="0" w:color="auto"/>
        <w:bottom w:val="none" w:sz="0" w:space="0" w:color="auto"/>
        <w:right w:val="none" w:sz="0" w:space="0" w:color="auto"/>
      </w:divBdr>
    </w:div>
    <w:div w:id="1096484828">
      <w:bodyDiv w:val="1"/>
      <w:marLeft w:val="0"/>
      <w:marRight w:val="0"/>
      <w:marTop w:val="0"/>
      <w:marBottom w:val="0"/>
      <w:divBdr>
        <w:top w:val="none" w:sz="0" w:space="0" w:color="auto"/>
        <w:left w:val="none" w:sz="0" w:space="0" w:color="auto"/>
        <w:bottom w:val="none" w:sz="0" w:space="0" w:color="auto"/>
        <w:right w:val="none" w:sz="0" w:space="0" w:color="auto"/>
      </w:divBdr>
    </w:div>
    <w:div w:id="1110515248">
      <w:bodyDiv w:val="1"/>
      <w:marLeft w:val="0"/>
      <w:marRight w:val="0"/>
      <w:marTop w:val="0"/>
      <w:marBottom w:val="0"/>
      <w:divBdr>
        <w:top w:val="none" w:sz="0" w:space="0" w:color="auto"/>
        <w:left w:val="none" w:sz="0" w:space="0" w:color="auto"/>
        <w:bottom w:val="none" w:sz="0" w:space="0" w:color="auto"/>
        <w:right w:val="none" w:sz="0" w:space="0" w:color="auto"/>
      </w:divBdr>
    </w:div>
    <w:div w:id="1142847296">
      <w:bodyDiv w:val="1"/>
      <w:marLeft w:val="0"/>
      <w:marRight w:val="0"/>
      <w:marTop w:val="0"/>
      <w:marBottom w:val="0"/>
      <w:divBdr>
        <w:top w:val="none" w:sz="0" w:space="0" w:color="auto"/>
        <w:left w:val="none" w:sz="0" w:space="0" w:color="auto"/>
        <w:bottom w:val="none" w:sz="0" w:space="0" w:color="auto"/>
        <w:right w:val="none" w:sz="0" w:space="0" w:color="auto"/>
      </w:divBdr>
    </w:div>
    <w:div w:id="1190874084">
      <w:bodyDiv w:val="1"/>
      <w:marLeft w:val="0"/>
      <w:marRight w:val="0"/>
      <w:marTop w:val="0"/>
      <w:marBottom w:val="0"/>
      <w:divBdr>
        <w:top w:val="none" w:sz="0" w:space="0" w:color="auto"/>
        <w:left w:val="none" w:sz="0" w:space="0" w:color="auto"/>
        <w:bottom w:val="none" w:sz="0" w:space="0" w:color="auto"/>
        <w:right w:val="none" w:sz="0" w:space="0" w:color="auto"/>
      </w:divBdr>
    </w:div>
    <w:div w:id="1193112269">
      <w:bodyDiv w:val="1"/>
      <w:marLeft w:val="0"/>
      <w:marRight w:val="0"/>
      <w:marTop w:val="0"/>
      <w:marBottom w:val="0"/>
      <w:divBdr>
        <w:top w:val="none" w:sz="0" w:space="0" w:color="auto"/>
        <w:left w:val="none" w:sz="0" w:space="0" w:color="auto"/>
        <w:bottom w:val="none" w:sz="0" w:space="0" w:color="auto"/>
        <w:right w:val="none" w:sz="0" w:space="0" w:color="auto"/>
      </w:divBdr>
    </w:div>
    <w:div w:id="1301767903">
      <w:bodyDiv w:val="1"/>
      <w:marLeft w:val="0"/>
      <w:marRight w:val="0"/>
      <w:marTop w:val="0"/>
      <w:marBottom w:val="0"/>
      <w:divBdr>
        <w:top w:val="none" w:sz="0" w:space="0" w:color="auto"/>
        <w:left w:val="none" w:sz="0" w:space="0" w:color="auto"/>
        <w:bottom w:val="none" w:sz="0" w:space="0" w:color="auto"/>
        <w:right w:val="none" w:sz="0" w:space="0" w:color="auto"/>
      </w:divBdr>
    </w:div>
    <w:div w:id="1316839516">
      <w:bodyDiv w:val="1"/>
      <w:marLeft w:val="0"/>
      <w:marRight w:val="0"/>
      <w:marTop w:val="0"/>
      <w:marBottom w:val="0"/>
      <w:divBdr>
        <w:top w:val="none" w:sz="0" w:space="0" w:color="auto"/>
        <w:left w:val="none" w:sz="0" w:space="0" w:color="auto"/>
        <w:bottom w:val="none" w:sz="0" w:space="0" w:color="auto"/>
        <w:right w:val="none" w:sz="0" w:space="0" w:color="auto"/>
      </w:divBdr>
    </w:div>
    <w:div w:id="1326712073">
      <w:bodyDiv w:val="1"/>
      <w:marLeft w:val="0"/>
      <w:marRight w:val="0"/>
      <w:marTop w:val="0"/>
      <w:marBottom w:val="0"/>
      <w:divBdr>
        <w:top w:val="none" w:sz="0" w:space="0" w:color="auto"/>
        <w:left w:val="none" w:sz="0" w:space="0" w:color="auto"/>
        <w:bottom w:val="none" w:sz="0" w:space="0" w:color="auto"/>
        <w:right w:val="none" w:sz="0" w:space="0" w:color="auto"/>
      </w:divBdr>
    </w:div>
    <w:div w:id="1357727646">
      <w:bodyDiv w:val="1"/>
      <w:marLeft w:val="0"/>
      <w:marRight w:val="0"/>
      <w:marTop w:val="0"/>
      <w:marBottom w:val="0"/>
      <w:divBdr>
        <w:top w:val="none" w:sz="0" w:space="0" w:color="auto"/>
        <w:left w:val="none" w:sz="0" w:space="0" w:color="auto"/>
        <w:bottom w:val="none" w:sz="0" w:space="0" w:color="auto"/>
        <w:right w:val="none" w:sz="0" w:space="0" w:color="auto"/>
      </w:divBdr>
    </w:div>
    <w:div w:id="1362511097">
      <w:bodyDiv w:val="1"/>
      <w:marLeft w:val="0"/>
      <w:marRight w:val="0"/>
      <w:marTop w:val="0"/>
      <w:marBottom w:val="0"/>
      <w:divBdr>
        <w:top w:val="none" w:sz="0" w:space="0" w:color="auto"/>
        <w:left w:val="none" w:sz="0" w:space="0" w:color="auto"/>
        <w:bottom w:val="none" w:sz="0" w:space="0" w:color="auto"/>
        <w:right w:val="none" w:sz="0" w:space="0" w:color="auto"/>
      </w:divBdr>
    </w:div>
    <w:div w:id="1367220312">
      <w:bodyDiv w:val="1"/>
      <w:marLeft w:val="0"/>
      <w:marRight w:val="0"/>
      <w:marTop w:val="0"/>
      <w:marBottom w:val="0"/>
      <w:divBdr>
        <w:top w:val="none" w:sz="0" w:space="0" w:color="auto"/>
        <w:left w:val="none" w:sz="0" w:space="0" w:color="auto"/>
        <w:bottom w:val="none" w:sz="0" w:space="0" w:color="auto"/>
        <w:right w:val="none" w:sz="0" w:space="0" w:color="auto"/>
      </w:divBdr>
    </w:div>
    <w:div w:id="1442069911">
      <w:bodyDiv w:val="1"/>
      <w:marLeft w:val="0"/>
      <w:marRight w:val="0"/>
      <w:marTop w:val="0"/>
      <w:marBottom w:val="0"/>
      <w:divBdr>
        <w:top w:val="none" w:sz="0" w:space="0" w:color="auto"/>
        <w:left w:val="none" w:sz="0" w:space="0" w:color="auto"/>
        <w:bottom w:val="none" w:sz="0" w:space="0" w:color="auto"/>
        <w:right w:val="none" w:sz="0" w:space="0" w:color="auto"/>
      </w:divBdr>
    </w:div>
    <w:div w:id="1500853194">
      <w:bodyDiv w:val="1"/>
      <w:marLeft w:val="0"/>
      <w:marRight w:val="0"/>
      <w:marTop w:val="0"/>
      <w:marBottom w:val="0"/>
      <w:divBdr>
        <w:top w:val="none" w:sz="0" w:space="0" w:color="auto"/>
        <w:left w:val="none" w:sz="0" w:space="0" w:color="auto"/>
        <w:bottom w:val="none" w:sz="0" w:space="0" w:color="auto"/>
        <w:right w:val="none" w:sz="0" w:space="0" w:color="auto"/>
      </w:divBdr>
    </w:div>
    <w:div w:id="1510801619">
      <w:bodyDiv w:val="1"/>
      <w:marLeft w:val="0"/>
      <w:marRight w:val="0"/>
      <w:marTop w:val="0"/>
      <w:marBottom w:val="0"/>
      <w:divBdr>
        <w:top w:val="none" w:sz="0" w:space="0" w:color="auto"/>
        <w:left w:val="none" w:sz="0" w:space="0" w:color="auto"/>
        <w:bottom w:val="none" w:sz="0" w:space="0" w:color="auto"/>
        <w:right w:val="none" w:sz="0" w:space="0" w:color="auto"/>
      </w:divBdr>
    </w:div>
    <w:div w:id="1600527774">
      <w:bodyDiv w:val="1"/>
      <w:marLeft w:val="0"/>
      <w:marRight w:val="0"/>
      <w:marTop w:val="0"/>
      <w:marBottom w:val="0"/>
      <w:divBdr>
        <w:top w:val="none" w:sz="0" w:space="0" w:color="auto"/>
        <w:left w:val="none" w:sz="0" w:space="0" w:color="auto"/>
        <w:bottom w:val="none" w:sz="0" w:space="0" w:color="auto"/>
        <w:right w:val="none" w:sz="0" w:space="0" w:color="auto"/>
      </w:divBdr>
    </w:div>
    <w:div w:id="1645622168">
      <w:bodyDiv w:val="1"/>
      <w:marLeft w:val="0"/>
      <w:marRight w:val="0"/>
      <w:marTop w:val="0"/>
      <w:marBottom w:val="0"/>
      <w:divBdr>
        <w:top w:val="none" w:sz="0" w:space="0" w:color="auto"/>
        <w:left w:val="none" w:sz="0" w:space="0" w:color="auto"/>
        <w:bottom w:val="none" w:sz="0" w:space="0" w:color="auto"/>
        <w:right w:val="none" w:sz="0" w:space="0" w:color="auto"/>
      </w:divBdr>
    </w:div>
    <w:div w:id="1648973616">
      <w:bodyDiv w:val="1"/>
      <w:marLeft w:val="0"/>
      <w:marRight w:val="0"/>
      <w:marTop w:val="0"/>
      <w:marBottom w:val="0"/>
      <w:divBdr>
        <w:top w:val="none" w:sz="0" w:space="0" w:color="auto"/>
        <w:left w:val="none" w:sz="0" w:space="0" w:color="auto"/>
        <w:bottom w:val="none" w:sz="0" w:space="0" w:color="auto"/>
        <w:right w:val="none" w:sz="0" w:space="0" w:color="auto"/>
      </w:divBdr>
    </w:div>
    <w:div w:id="1688361488">
      <w:bodyDiv w:val="1"/>
      <w:marLeft w:val="0"/>
      <w:marRight w:val="0"/>
      <w:marTop w:val="0"/>
      <w:marBottom w:val="0"/>
      <w:divBdr>
        <w:top w:val="none" w:sz="0" w:space="0" w:color="auto"/>
        <w:left w:val="none" w:sz="0" w:space="0" w:color="auto"/>
        <w:bottom w:val="none" w:sz="0" w:space="0" w:color="auto"/>
        <w:right w:val="none" w:sz="0" w:space="0" w:color="auto"/>
      </w:divBdr>
    </w:div>
    <w:div w:id="1716351386">
      <w:bodyDiv w:val="1"/>
      <w:marLeft w:val="0"/>
      <w:marRight w:val="0"/>
      <w:marTop w:val="0"/>
      <w:marBottom w:val="0"/>
      <w:divBdr>
        <w:top w:val="none" w:sz="0" w:space="0" w:color="auto"/>
        <w:left w:val="none" w:sz="0" w:space="0" w:color="auto"/>
        <w:bottom w:val="none" w:sz="0" w:space="0" w:color="auto"/>
        <w:right w:val="none" w:sz="0" w:space="0" w:color="auto"/>
      </w:divBdr>
    </w:div>
    <w:div w:id="1724013349">
      <w:bodyDiv w:val="1"/>
      <w:marLeft w:val="0"/>
      <w:marRight w:val="0"/>
      <w:marTop w:val="0"/>
      <w:marBottom w:val="0"/>
      <w:divBdr>
        <w:top w:val="none" w:sz="0" w:space="0" w:color="auto"/>
        <w:left w:val="none" w:sz="0" w:space="0" w:color="auto"/>
        <w:bottom w:val="none" w:sz="0" w:space="0" w:color="auto"/>
        <w:right w:val="none" w:sz="0" w:space="0" w:color="auto"/>
      </w:divBdr>
    </w:div>
    <w:div w:id="1752578853">
      <w:bodyDiv w:val="1"/>
      <w:marLeft w:val="0"/>
      <w:marRight w:val="0"/>
      <w:marTop w:val="0"/>
      <w:marBottom w:val="0"/>
      <w:divBdr>
        <w:top w:val="none" w:sz="0" w:space="0" w:color="auto"/>
        <w:left w:val="none" w:sz="0" w:space="0" w:color="auto"/>
        <w:bottom w:val="none" w:sz="0" w:space="0" w:color="auto"/>
        <w:right w:val="none" w:sz="0" w:space="0" w:color="auto"/>
      </w:divBdr>
    </w:div>
    <w:div w:id="1773278467">
      <w:bodyDiv w:val="1"/>
      <w:marLeft w:val="0"/>
      <w:marRight w:val="0"/>
      <w:marTop w:val="0"/>
      <w:marBottom w:val="0"/>
      <w:divBdr>
        <w:top w:val="none" w:sz="0" w:space="0" w:color="auto"/>
        <w:left w:val="none" w:sz="0" w:space="0" w:color="auto"/>
        <w:bottom w:val="none" w:sz="0" w:space="0" w:color="auto"/>
        <w:right w:val="none" w:sz="0" w:space="0" w:color="auto"/>
      </w:divBdr>
    </w:div>
    <w:div w:id="1777745689">
      <w:bodyDiv w:val="1"/>
      <w:marLeft w:val="0"/>
      <w:marRight w:val="0"/>
      <w:marTop w:val="0"/>
      <w:marBottom w:val="0"/>
      <w:divBdr>
        <w:top w:val="none" w:sz="0" w:space="0" w:color="auto"/>
        <w:left w:val="none" w:sz="0" w:space="0" w:color="auto"/>
        <w:bottom w:val="none" w:sz="0" w:space="0" w:color="auto"/>
        <w:right w:val="none" w:sz="0" w:space="0" w:color="auto"/>
      </w:divBdr>
    </w:div>
    <w:div w:id="1798184507">
      <w:bodyDiv w:val="1"/>
      <w:marLeft w:val="0"/>
      <w:marRight w:val="0"/>
      <w:marTop w:val="0"/>
      <w:marBottom w:val="0"/>
      <w:divBdr>
        <w:top w:val="none" w:sz="0" w:space="0" w:color="auto"/>
        <w:left w:val="none" w:sz="0" w:space="0" w:color="auto"/>
        <w:bottom w:val="none" w:sz="0" w:space="0" w:color="auto"/>
        <w:right w:val="none" w:sz="0" w:space="0" w:color="auto"/>
      </w:divBdr>
    </w:div>
    <w:div w:id="1820724418">
      <w:bodyDiv w:val="1"/>
      <w:marLeft w:val="0"/>
      <w:marRight w:val="0"/>
      <w:marTop w:val="0"/>
      <w:marBottom w:val="0"/>
      <w:divBdr>
        <w:top w:val="none" w:sz="0" w:space="0" w:color="auto"/>
        <w:left w:val="none" w:sz="0" w:space="0" w:color="auto"/>
        <w:bottom w:val="none" w:sz="0" w:space="0" w:color="auto"/>
        <w:right w:val="none" w:sz="0" w:space="0" w:color="auto"/>
      </w:divBdr>
    </w:div>
    <w:div w:id="1821730399">
      <w:bodyDiv w:val="1"/>
      <w:marLeft w:val="0"/>
      <w:marRight w:val="0"/>
      <w:marTop w:val="0"/>
      <w:marBottom w:val="0"/>
      <w:divBdr>
        <w:top w:val="none" w:sz="0" w:space="0" w:color="auto"/>
        <w:left w:val="none" w:sz="0" w:space="0" w:color="auto"/>
        <w:bottom w:val="none" w:sz="0" w:space="0" w:color="auto"/>
        <w:right w:val="none" w:sz="0" w:space="0" w:color="auto"/>
      </w:divBdr>
    </w:div>
    <w:div w:id="1904607603">
      <w:bodyDiv w:val="1"/>
      <w:marLeft w:val="0"/>
      <w:marRight w:val="0"/>
      <w:marTop w:val="0"/>
      <w:marBottom w:val="0"/>
      <w:divBdr>
        <w:top w:val="none" w:sz="0" w:space="0" w:color="auto"/>
        <w:left w:val="none" w:sz="0" w:space="0" w:color="auto"/>
        <w:bottom w:val="none" w:sz="0" w:space="0" w:color="auto"/>
        <w:right w:val="none" w:sz="0" w:space="0" w:color="auto"/>
      </w:divBdr>
    </w:div>
    <w:div w:id="1914121625">
      <w:bodyDiv w:val="1"/>
      <w:marLeft w:val="0"/>
      <w:marRight w:val="0"/>
      <w:marTop w:val="0"/>
      <w:marBottom w:val="0"/>
      <w:divBdr>
        <w:top w:val="none" w:sz="0" w:space="0" w:color="auto"/>
        <w:left w:val="none" w:sz="0" w:space="0" w:color="auto"/>
        <w:bottom w:val="none" w:sz="0" w:space="0" w:color="auto"/>
        <w:right w:val="none" w:sz="0" w:space="0" w:color="auto"/>
      </w:divBdr>
    </w:div>
    <w:div w:id="1927374503">
      <w:bodyDiv w:val="1"/>
      <w:marLeft w:val="0"/>
      <w:marRight w:val="0"/>
      <w:marTop w:val="0"/>
      <w:marBottom w:val="0"/>
      <w:divBdr>
        <w:top w:val="none" w:sz="0" w:space="0" w:color="auto"/>
        <w:left w:val="none" w:sz="0" w:space="0" w:color="auto"/>
        <w:bottom w:val="none" w:sz="0" w:space="0" w:color="auto"/>
        <w:right w:val="none" w:sz="0" w:space="0" w:color="auto"/>
      </w:divBdr>
    </w:div>
    <w:div w:id="1956018386">
      <w:bodyDiv w:val="1"/>
      <w:marLeft w:val="0"/>
      <w:marRight w:val="0"/>
      <w:marTop w:val="0"/>
      <w:marBottom w:val="0"/>
      <w:divBdr>
        <w:top w:val="none" w:sz="0" w:space="0" w:color="auto"/>
        <w:left w:val="none" w:sz="0" w:space="0" w:color="auto"/>
        <w:bottom w:val="none" w:sz="0" w:space="0" w:color="auto"/>
        <w:right w:val="none" w:sz="0" w:space="0" w:color="auto"/>
      </w:divBdr>
    </w:div>
    <w:div w:id="1963032327">
      <w:bodyDiv w:val="1"/>
      <w:marLeft w:val="0"/>
      <w:marRight w:val="0"/>
      <w:marTop w:val="0"/>
      <w:marBottom w:val="0"/>
      <w:divBdr>
        <w:top w:val="none" w:sz="0" w:space="0" w:color="auto"/>
        <w:left w:val="none" w:sz="0" w:space="0" w:color="auto"/>
        <w:bottom w:val="none" w:sz="0" w:space="0" w:color="auto"/>
        <w:right w:val="none" w:sz="0" w:space="0" w:color="auto"/>
      </w:divBdr>
    </w:div>
    <w:div w:id="1985039784">
      <w:bodyDiv w:val="1"/>
      <w:marLeft w:val="0"/>
      <w:marRight w:val="0"/>
      <w:marTop w:val="0"/>
      <w:marBottom w:val="0"/>
      <w:divBdr>
        <w:top w:val="none" w:sz="0" w:space="0" w:color="auto"/>
        <w:left w:val="none" w:sz="0" w:space="0" w:color="auto"/>
        <w:bottom w:val="none" w:sz="0" w:space="0" w:color="auto"/>
        <w:right w:val="none" w:sz="0" w:space="0" w:color="auto"/>
      </w:divBdr>
    </w:div>
    <w:div w:id="1994487119">
      <w:bodyDiv w:val="1"/>
      <w:marLeft w:val="0"/>
      <w:marRight w:val="0"/>
      <w:marTop w:val="0"/>
      <w:marBottom w:val="0"/>
      <w:divBdr>
        <w:top w:val="none" w:sz="0" w:space="0" w:color="auto"/>
        <w:left w:val="none" w:sz="0" w:space="0" w:color="auto"/>
        <w:bottom w:val="none" w:sz="0" w:space="0" w:color="auto"/>
        <w:right w:val="none" w:sz="0" w:space="0" w:color="auto"/>
      </w:divBdr>
    </w:div>
    <w:div w:id="2012484187">
      <w:bodyDiv w:val="1"/>
      <w:marLeft w:val="0"/>
      <w:marRight w:val="0"/>
      <w:marTop w:val="0"/>
      <w:marBottom w:val="0"/>
      <w:divBdr>
        <w:top w:val="none" w:sz="0" w:space="0" w:color="auto"/>
        <w:left w:val="none" w:sz="0" w:space="0" w:color="auto"/>
        <w:bottom w:val="none" w:sz="0" w:space="0" w:color="auto"/>
        <w:right w:val="none" w:sz="0" w:space="0" w:color="auto"/>
      </w:divBdr>
    </w:div>
    <w:div w:id="2086567193">
      <w:bodyDiv w:val="1"/>
      <w:marLeft w:val="0"/>
      <w:marRight w:val="0"/>
      <w:marTop w:val="0"/>
      <w:marBottom w:val="0"/>
      <w:divBdr>
        <w:top w:val="none" w:sz="0" w:space="0" w:color="auto"/>
        <w:left w:val="none" w:sz="0" w:space="0" w:color="auto"/>
        <w:bottom w:val="none" w:sz="0" w:space="0" w:color="auto"/>
        <w:right w:val="none" w:sz="0" w:space="0" w:color="auto"/>
      </w:divBdr>
    </w:div>
    <w:div w:id="2087915324">
      <w:bodyDiv w:val="1"/>
      <w:marLeft w:val="0"/>
      <w:marRight w:val="0"/>
      <w:marTop w:val="0"/>
      <w:marBottom w:val="0"/>
      <w:divBdr>
        <w:top w:val="none" w:sz="0" w:space="0" w:color="auto"/>
        <w:left w:val="none" w:sz="0" w:space="0" w:color="auto"/>
        <w:bottom w:val="none" w:sz="0" w:space="0" w:color="auto"/>
        <w:right w:val="none" w:sz="0" w:space="0" w:color="auto"/>
      </w:divBdr>
    </w:div>
    <w:div w:id="2107917625">
      <w:bodyDiv w:val="1"/>
      <w:marLeft w:val="0"/>
      <w:marRight w:val="0"/>
      <w:marTop w:val="0"/>
      <w:marBottom w:val="0"/>
      <w:divBdr>
        <w:top w:val="none" w:sz="0" w:space="0" w:color="auto"/>
        <w:left w:val="none" w:sz="0" w:space="0" w:color="auto"/>
        <w:bottom w:val="none" w:sz="0" w:space="0" w:color="auto"/>
        <w:right w:val="none" w:sz="0" w:space="0" w:color="auto"/>
      </w:divBdr>
    </w:div>
    <w:div w:id="2131236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0E694-83F0-4F61-B38B-A66FAA4CA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771</TotalTime>
  <Pages>6</Pages>
  <Words>1048</Words>
  <Characters>7017</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Nota 1     Principales políticas y prácticas contables</vt:lpstr>
    </vt:vector>
  </TitlesOfParts>
  <Company>CMH</Company>
  <LinksUpToDate>false</LinksUpToDate>
  <CharactersWithSpaces>8049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1     Principales políticas y prácticas contables</dc:title>
  <dc:creator>CMH018</dc:creator>
  <cp:lastModifiedBy>Karen Cuitun</cp:lastModifiedBy>
  <cp:revision>21</cp:revision>
  <cp:lastPrinted>2017-10-06T21:53:00Z</cp:lastPrinted>
  <dcterms:created xsi:type="dcterms:W3CDTF">2017-11-25T01:42:00Z</dcterms:created>
  <dcterms:modified xsi:type="dcterms:W3CDTF">2018-04-11T23:51:00Z</dcterms:modified>
</cp:coreProperties>
</file>